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9FD" w:rsidRDefault="00A039F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Domain Driven Design (DDD)</w:t>
      </w:r>
    </w:p>
    <w:p w:rsidR="00A039FD" w:rsidRDefault="00A039F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 June 2025</w:t>
      </w:r>
    </w:p>
    <w:p w:rsidR="00A039FD" w:rsidRDefault="00A039F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01:05 PM</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40"/>
          <w:szCs w:val="40"/>
        </w:rPr>
      </w:pPr>
      <w:r>
        <w:rPr>
          <w:rFonts w:ascii="Calibri" w:hAnsi="Calibri" w:cs="Calibri"/>
          <w:b/>
          <w:bCs/>
          <w:sz w:val="40"/>
          <w:szCs w:val="40"/>
        </w:rPr>
        <w:t>Domain-Driven Design (DDD) Document – Industry-Grade</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Project: Real-Time Fraud Detection &amp; Notification System</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1. Strategic Design</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1.1 Core Domain</w:t>
      </w:r>
    </w:p>
    <w:p w:rsidR="00A039FD" w:rsidRDefault="00A039FD">
      <w:pPr>
        <w:pStyle w:val="NormalWeb"/>
        <w:spacing w:before="0" w:beforeAutospacing="0" w:after="0" w:afterAutospacing="0"/>
        <w:ind w:left="540"/>
        <w:rPr>
          <w:rFonts w:ascii="Calibri" w:hAnsi="Calibri" w:cs="Calibri"/>
        </w:rPr>
      </w:pPr>
      <w:r>
        <w:rPr>
          <w:rFonts w:ascii="Calibri" w:hAnsi="Calibri" w:cs="Calibri"/>
        </w:rPr>
        <w:t xml:space="preserve">Fraud detection is the </w:t>
      </w:r>
      <w:r>
        <w:rPr>
          <w:rFonts w:ascii="Calibri" w:hAnsi="Calibri" w:cs="Calibri"/>
          <w:b/>
          <w:bCs/>
        </w:rPr>
        <w:t>core domain</w:t>
      </w:r>
      <w:r>
        <w:rPr>
          <w:rFonts w:ascii="Calibri" w:hAnsi="Calibri" w:cs="Calibri"/>
        </w:rPr>
        <w:t xml:space="preserve"> </w:t>
      </w:r>
      <w:r>
        <w:rPr>
          <w:rFonts w:ascii="Calibri" w:hAnsi="Calibri" w:cs="Calibri"/>
        </w:rPr>
        <w:t>and receives the highest attention. It includes high-complexity logic and key differentiators like rule-based engines and real-time analysis.</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1.2 Supporting Subdomains</w:t>
      </w:r>
    </w:p>
    <w:p w:rsidR="00A039FD" w:rsidRDefault="00A039FD">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Transaction Processing</w:t>
      </w:r>
      <w:r>
        <w:rPr>
          <w:rFonts w:ascii="Calibri" w:eastAsia="Times New Roman" w:hAnsi="Calibri" w:cs="Calibri"/>
          <w:sz w:val="22"/>
          <w:szCs w:val="22"/>
        </w:rPr>
        <w:t>: Supports fraud detection with real-time data.</w:t>
      </w:r>
    </w:p>
    <w:p w:rsidR="00A039FD" w:rsidRDefault="00A039FD">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User Management</w:t>
      </w:r>
      <w:r>
        <w:rPr>
          <w:rFonts w:ascii="Calibri" w:eastAsia="Times New Roman" w:hAnsi="Calibri" w:cs="Calibri"/>
          <w:sz w:val="22"/>
          <w:szCs w:val="22"/>
        </w:rPr>
        <w:t>: Manages user identity and contact data.</w:t>
      </w:r>
    </w:p>
    <w:p w:rsidR="00A039FD" w:rsidRDefault="00A039FD">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Notification Management</w:t>
      </w:r>
      <w:r>
        <w:rPr>
          <w:rFonts w:ascii="Calibri" w:eastAsia="Times New Roman" w:hAnsi="Calibri" w:cs="Calibri"/>
          <w:sz w:val="22"/>
          <w:szCs w:val="22"/>
        </w:rPr>
        <w:t>: Sends alerts via third-party APIs.</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1.3 Generic Subdomains</w:t>
      </w:r>
    </w:p>
    <w:p w:rsidR="00A039FD" w:rsidRDefault="00A039F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Email/SMS API integration wrappers</w:t>
      </w:r>
    </w:p>
    <w:p w:rsidR="00A039FD" w:rsidRDefault="00A039F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Logging, metrics, observability</w:t>
      </w:r>
    </w:p>
    <w:p w:rsidR="00A039FD" w:rsidRDefault="00A039FD">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Identity and Access Management (IAM)</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2. Bounded Contexts and Domains</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Each context is developed, deployed, and scaled independently.</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2.1 Transaction Context</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r>
        <w:rPr>
          <w:rFonts w:ascii="Calibri" w:hAnsi="Calibri" w:cs="Calibri"/>
          <w:sz w:val="22"/>
          <w:szCs w:val="22"/>
        </w:rPr>
        <w:t>: Ingest and persist transactions.</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Entities</w:t>
      </w:r>
      <w:r>
        <w:rPr>
          <w:rFonts w:ascii="Calibri" w:eastAsia="Times New Roman" w:hAnsi="Calibri" w:cs="Calibri"/>
          <w:sz w:val="22"/>
          <w:szCs w:val="22"/>
        </w:rPr>
        <w:t>:</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 id, userId, </w:t>
      </w:r>
      <w:r>
        <w:rPr>
          <w:rFonts w:ascii="Calibri" w:eastAsia="Times New Roman" w:hAnsi="Calibri" w:cs="Calibri"/>
          <w:sz w:val="22"/>
          <w:szCs w:val="22"/>
        </w:rPr>
        <w:t>amount, source, destination, timestamp, status }</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User { id, name, phone, email, isActive }</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Aggregates</w:t>
      </w:r>
      <w:r>
        <w:rPr>
          <w:rFonts w:ascii="Calibri" w:eastAsia="Times New Roman" w:hAnsi="Calibri" w:cs="Calibri"/>
          <w:sz w:val="22"/>
          <w:szCs w:val="22"/>
        </w:rPr>
        <w:t>:</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UserAggregate: Validates active status, maintains transaction limits</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Services</w:t>
      </w:r>
      <w:r>
        <w:rPr>
          <w:rFonts w:ascii="Calibri" w:eastAsia="Times New Roman" w:hAnsi="Calibri" w:cs="Calibri"/>
          <w:sz w:val="22"/>
          <w:szCs w:val="22"/>
        </w:rPr>
        <w:t>:</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TransactionCommandService</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TransactionQueryService</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Domain Events</w:t>
      </w:r>
      <w:r>
        <w:rPr>
          <w:rFonts w:ascii="Calibri" w:eastAsia="Times New Roman" w:hAnsi="Calibri" w:cs="Calibri"/>
          <w:sz w:val="22"/>
          <w:szCs w:val="22"/>
        </w:rPr>
        <w:t>:</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TransactionCreated</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Repositories</w:t>
      </w:r>
      <w:r>
        <w:rPr>
          <w:rFonts w:ascii="Calibri" w:eastAsia="Times New Roman" w:hAnsi="Calibri" w:cs="Calibri"/>
          <w:sz w:val="22"/>
          <w:szCs w:val="22"/>
        </w:rPr>
        <w:t>:</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TransactionRepository</w:t>
      </w:r>
    </w:p>
    <w:p w:rsidR="00A039FD" w:rsidRDefault="00A039F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UserRepository</w:t>
      </w:r>
    </w:p>
    <w:p w:rsidR="00A039FD" w:rsidRDefault="00A039FD">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Communication</w:t>
      </w:r>
      <w:r>
        <w:rPr>
          <w:rFonts w:ascii="Calibri" w:eastAsia="Times New Roman" w:hAnsi="Calibri" w:cs="Calibri"/>
          <w:sz w:val="22"/>
          <w:szCs w:val="22"/>
        </w:rPr>
        <w:t>: Kafka Producer → transactions topic</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2.2 Fraud Detection Context</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r>
        <w:rPr>
          <w:rFonts w:ascii="Calibri" w:hAnsi="Calibri" w:cs="Calibri"/>
          <w:sz w:val="22"/>
          <w:szCs w:val="22"/>
        </w:rPr>
        <w:t>: Evaluate transactions and detect anomalies in real time.</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Entities</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FraudRule { id, ruleName, threshold, enabled, ruleType }</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lastRenderedPageBreak/>
        <w:t>FlaggedTransaction { id, transactionId, reason, severity, flaggedAt }</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Aggregates</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FraudEngineAggregate: Encapsulates all fraud rules</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Services</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FraudDetectionService</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RuleEvaluatorService</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Domain Events</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FraudDetected</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Repositories</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FraudRuleRepository</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FlaggedTransactionRepository</w:t>
      </w:r>
    </w:p>
    <w:p w:rsidR="00A039FD" w:rsidRDefault="00A039FD">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Communication</w:t>
      </w:r>
      <w:r>
        <w:rPr>
          <w:rFonts w:ascii="Calibri" w:eastAsia="Times New Roman" w:hAnsi="Calibri" w:cs="Calibri"/>
          <w:sz w:val="22"/>
          <w:szCs w:val="22"/>
        </w:rPr>
        <w:t>:</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Kafka Consumer → transactions</w:t>
      </w:r>
    </w:p>
    <w:p w:rsidR="00A039FD" w:rsidRDefault="00A039F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Kafka Producer → flagged-transactions</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2.3 Notification Context</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r>
        <w:rPr>
          <w:rFonts w:ascii="Calibri" w:hAnsi="Calibri" w:cs="Calibri"/>
          <w:sz w:val="22"/>
          <w:szCs w:val="22"/>
        </w:rPr>
        <w:t>: Notify users via Email/SMS when fraud is detected.</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Entities</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Notification { id, userId, type, channel, content, status, sentAt }</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Aggregates</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NotificationAggregate: Holds all pending notifications</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Services</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NotificationOrchestrator</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EmailGateway</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SMSGateway</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Domain Events</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NotificationDispatched</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Repositories</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NotificationLogRepository</w:t>
      </w:r>
    </w:p>
    <w:p w:rsidR="00A039FD" w:rsidRDefault="00A039FD">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Communication</w:t>
      </w:r>
      <w:r>
        <w:rPr>
          <w:rFonts w:ascii="Calibri" w:eastAsia="Times New Roman" w:hAnsi="Calibri" w:cs="Calibri"/>
          <w:sz w:val="22"/>
          <w:szCs w:val="22"/>
        </w:rPr>
        <w:t>:</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Kafka Consumer → flagged-transactions</w:t>
      </w:r>
    </w:p>
    <w:p w:rsidR="00A039FD" w:rsidRDefault="00A039F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External APIs → Twilio, SendGrid</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2"/>
          <w:szCs w:val="32"/>
        </w:rPr>
      </w:pPr>
      <w:r>
        <w:rPr>
          <w:rFonts w:ascii="Calibri" w:hAnsi="Calibri" w:cs="Calibri"/>
          <w:b/>
          <w:bCs/>
          <w:sz w:val="32"/>
          <w:szCs w:val="32"/>
        </w:rPr>
        <w:t>2.4 Dashboard Context</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r>
        <w:rPr>
          <w:rFonts w:ascii="Calibri" w:hAnsi="Calibri" w:cs="Calibri"/>
          <w:sz w:val="22"/>
          <w:szCs w:val="22"/>
        </w:rPr>
        <w:t>: Display real-time flagged alerts, transactions, and system stats.</w:t>
      </w:r>
    </w:p>
    <w:p w:rsidR="00A039FD" w:rsidRDefault="00A039FD">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Views/Projections</w:t>
      </w:r>
      <w:r>
        <w:rPr>
          <w:rFonts w:ascii="Calibri" w:eastAsia="Times New Roman" w:hAnsi="Calibri" w:cs="Calibri"/>
          <w:sz w:val="22"/>
          <w:szCs w:val="22"/>
        </w:rPr>
        <w:t>:</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TransactionViewModel</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FraudSummary</w:t>
      </w:r>
    </w:p>
    <w:p w:rsidR="00A039FD" w:rsidRDefault="00A039FD">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Services</w:t>
      </w:r>
      <w:r>
        <w:rPr>
          <w:rFonts w:ascii="Calibri" w:eastAsia="Times New Roman" w:hAnsi="Calibri" w:cs="Calibri"/>
          <w:sz w:val="22"/>
          <w:szCs w:val="22"/>
        </w:rPr>
        <w:t>:</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TransactionQueryHandler</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FlaggedTransactionQueryHandler</w:t>
      </w:r>
    </w:p>
    <w:p w:rsidR="00A039FD" w:rsidRDefault="00A039FD">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Communication</w:t>
      </w:r>
      <w:r>
        <w:rPr>
          <w:rFonts w:ascii="Calibri" w:eastAsia="Times New Roman" w:hAnsi="Calibri" w:cs="Calibri"/>
          <w:sz w:val="22"/>
          <w:szCs w:val="22"/>
        </w:rPr>
        <w:t>:</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REST APIs (for admin dashboard)</w:t>
      </w:r>
    </w:p>
    <w:p w:rsidR="00A039FD" w:rsidRDefault="00A039F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WebSocket/SSE for real-time feeds</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3. Shared Kernel</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Modules used across contexts:</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DTOs (Data Transfer Objects)</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Kafka Configuration</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Spring Security (if secured endpoints are needed)</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API Clients (for Twilio, SendGrid)</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Custom Exception Handling</w:t>
      </w:r>
    </w:p>
    <w:p w:rsidR="00A039FD" w:rsidRDefault="00A039FD">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Logging and Observability Layer (Micrometer + Prometheus)</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4. Ubiquitous Language Glossary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04"/>
        <w:gridCol w:w="5002"/>
      </w:tblGrid>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Term</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Meaning</w:t>
            </w:r>
          </w:p>
        </w:tc>
      </w:tr>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Transaction</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Any user-initiated debit/credit financial movement</w:t>
            </w:r>
          </w:p>
        </w:tc>
      </w:tr>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Flagged Transaction</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A transaction marked as potentially fraudulent</w:t>
            </w:r>
          </w:p>
        </w:tc>
      </w:tr>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Fraud Rule</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Business logic to identify a transaction as suspicious</w:t>
            </w:r>
          </w:p>
        </w:tc>
      </w:tr>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Notification</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Message sent to </w:t>
            </w:r>
            <w:r>
              <w:rPr>
                <w:rFonts w:ascii="Calibri" w:hAnsi="Calibri" w:cs="Calibri"/>
                <w:sz w:val="22"/>
                <w:szCs w:val="22"/>
              </w:rPr>
              <w:t>user via email or SMS</w:t>
            </w:r>
          </w:p>
        </w:tc>
      </w:tr>
      <w:tr w:rsidR="00000000">
        <w:trPr>
          <w:divId w:val="1094129122"/>
        </w:trPr>
        <w:tc>
          <w:tcPr>
            <w:tcW w:w="5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Event</w:t>
            </w:r>
          </w:p>
        </w:tc>
        <w:tc>
          <w:tcPr>
            <w:tcW w:w="72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A fact or action that has occurred in the system (immutable)</w:t>
            </w:r>
          </w:p>
        </w:tc>
      </w:tr>
    </w:tbl>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5. Context Map (High-Level)</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931150" cy="309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31150" cy="3092450"/>
                    </a:xfrm>
                    <a:prstGeom prst="rect">
                      <a:avLst/>
                    </a:prstGeom>
                    <a:noFill/>
                    <a:ln>
                      <a:noFill/>
                    </a:ln>
                  </pic:spPr>
                </pic:pic>
              </a:graphicData>
            </a:graphic>
          </wp:inline>
        </w:drawing>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6. Technical Mapping (Optional)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27"/>
        <w:gridCol w:w="4779"/>
      </w:tblGrid>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Tech Stack</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All</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Java, Spring Boot, Kafka</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Dashboard</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React + WebSocket/SSE</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Data Store</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PostgreSQL + JPA/Hibernate</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Messaging</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Apache Kafka</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External API Layer</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Twilio, SendGrid</w:t>
            </w:r>
          </w:p>
        </w:tc>
      </w:tr>
      <w:tr w:rsidR="00000000">
        <w:trPr>
          <w:divId w:val="609123668"/>
        </w:trPr>
        <w:tc>
          <w:tcPr>
            <w:tcW w:w="59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Observability</w:t>
            </w:r>
          </w:p>
        </w:tc>
        <w:tc>
          <w:tcPr>
            <w:tcW w:w="6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Micrometer, Prometheus, Grafana</w:t>
            </w:r>
          </w:p>
        </w:tc>
      </w:tr>
    </w:tbl>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7. Domain Event Flow (Example)</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b/>
          <w:bCs/>
          <w:sz w:val="22"/>
          <w:szCs w:val="22"/>
        </w:rPr>
        <w:t>Scenario</w:t>
      </w:r>
      <w:r>
        <w:rPr>
          <w:rFonts w:ascii="Calibri" w:hAnsi="Calibri" w:cs="Calibri"/>
          <w:sz w:val="22"/>
          <w:szCs w:val="22"/>
        </w:rPr>
        <w:t>: User makes a transaction → system detects fraud → sends alert</w:t>
      </w:r>
    </w:p>
    <w:p w:rsidR="00A039FD" w:rsidRDefault="00A039F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TransactionCreated → Kafka </w:t>
      </w:r>
      <w:r>
        <w:rPr>
          <w:rFonts w:ascii="Calibri" w:eastAsia="Times New Roman" w:hAnsi="Calibri" w:cs="Calibri"/>
          <w:sz w:val="22"/>
          <w:szCs w:val="22"/>
        </w:rPr>
        <w:t>topic transactions</w:t>
      </w:r>
    </w:p>
    <w:p w:rsidR="00A039FD" w:rsidRDefault="00A039F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FraudDetectionService evaluates → raises FraudDetected</w:t>
      </w:r>
    </w:p>
    <w:p w:rsidR="00A039FD" w:rsidRDefault="00A039FD">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NotificationOrchestrator sends email/SMS → logs NotificationDispatched</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039FD" w:rsidRDefault="00A039FD">
      <w:pPr>
        <w:pStyle w:val="NormalWeb"/>
        <w:spacing w:before="0" w:beforeAutospacing="0" w:after="0" w:afterAutospacing="0"/>
        <w:rPr>
          <w:rFonts w:ascii="Calibri" w:hAnsi="Calibri" w:cs="Calibri"/>
          <w:sz w:val="36"/>
          <w:szCs w:val="36"/>
        </w:rPr>
      </w:pPr>
      <w:r>
        <w:rPr>
          <w:rFonts w:ascii="Calibri" w:hAnsi="Calibri" w:cs="Calibri"/>
          <w:b/>
          <w:bCs/>
          <w:sz w:val="36"/>
          <w:szCs w:val="36"/>
        </w:rPr>
        <w:t>8. Summary</w:t>
      </w:r>
    </w:p>
    <w:p w:rsidR="00A039FD" w:rsidRDefault="00A039FD">
      <w:pPr>
        <w:pStyle w:val="NormalWeb"/>
        <w:spacing w:before="0" w:beforeAutospacing="0" w:after="0" w:afterAutospacing="0"/>
        <w:rPr>
          <w:rFonts w:ascii="Calibri" w:hAnsi="Calibri" w:cs="Calibri"/>
          <w:sz w:val="22"/>
          <w:szCs w:val="22"/>
        </w:rPr>
      </w:pPr>
      <w:r>
        <w:rPr>
          <w:rFonts w:ascii="Calibri" w:hAnsi="Calibri" w:cs="Calibri"/>
          <w:sz w:val="22"/>
          <w:szCs w:val="22"/>
        </w:rPr>
        <w:t>This industry-grade DDD outlines clearly defined bounded contexts that can evolve independently, communicate asynchronously, and adhere to high modularity. It allows scaling of fraud detection logic, integration with future ML components, and meets real-world expectations of distributed systems.</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1CF3"/>
    <w:multiLevelType w:val="multilevel"/>
    <w:tmpl w:val="850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3B369A"/>
    <w:multiLevelType w:val="multilevel"/>
    <w:tmpl w:val="E2B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47775"/>
    <w:multiLevelType w:val="multilevel"/>
    <w:tmpl w:val="0C34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21ABD"/>
    <w:multiLevelType w:val="multilevel"/>
    <w:tmpl w:val="F622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7505FB"/>
    <w:multiLevelType w:val="multilevel"/>
    <w:tmpl w:val="50600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D62990"/>
    <w:multiLevelType w:val="multilevel"/>
    <w:tmpl w:val="663EC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4D1245"/>
    <w:multiLevelType w:val="multilevel"/>
    <w:tmpl w:val="23D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CF67B2"/>
    <w:multiLevelType w:val="multilevel"/>
    <w:tmpl w:val="B55C0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339636">
    <w:abstractNumId w:val="0"/>
  </w:num>
  <w:num w:numId="2" w16cid:durableId="888034140">
    <w:abstractNumId w:val="1"/>
  </w:num>
  <w:num w:numId="3" w16cid:durableId="704716226">
    <w:abstractNumId w:val="3"/>
  </w:num>
  <w:num w:numId="4" w16cid:durableId="1128011832">
    <w:abstractNumId w:val="5"/>
  </w:num>
  <w:num w:numId="5" w16cid:durableId="462621909">
    <w:abstractNumId w:val="4"/>
  </w:num>
  <w:num w:numId="6" w16cid:durableId="1647007672">
    <w:abstractNumId w:val="7"/>
  </w:num>
  <w:num w:numId="7" w16cid:durableId="1662269385">
    <w:abstractNumId w:val="6"/>
  </w:num>
  <w:num w:numId="8" w16cid:durableId="1443500548">
    <w:abstractNumId w:val="2"/>
  </w:num>
  <w:num w:numId="9" w16cid:durableId="1387672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39FD"/>
    <w:rsid w:val="003C400A"/>
    <w:rsid w:val="00A03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8A1E62-96BA-467C-8722-2A6B0AE0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23668">
      <w:marLeft w:val="0"/>
      <w:marRight w:val="0"/>
      <w:marTop w:val="0"/>
      <w:marBottom w:val="0"/>
      <w:divBdr>
        <w:top w:val="none" w:sz="0" w:space="0" w:color="auto"/>
        <w:left w:val="none" w:sz="0" w:space="0" w:color="auto"/>
        <w:bottom w:val="none" w:sz="0" w:space="0" w:color="auto"/>
        <w:right w:val="none" w:sz="0" w:space="0" w:color="auto"/>
      </w:divBdr>
    </w:div>
    <w:div w:id="109412912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Jhade</dc:creator>
  <cp:keywords/>
  <dc:description/>
  <cp:lastModifiedBy>Garima Jhade</cp:lastModifiedBy>
  <cp:revision>2</cp:revision>
  <dcterms:created xsi:type="dcterms:W3CDTF">2025-09-27T09:22:00Z</dcterms:created>
  <dcterms:modified xsi:type="dcterms:W3CDTF">2025-09-27T09:22:00Z</dcterms:modified>
</cp:coreProperties>
</file>