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FIXON Partnerprogramm</w:t>
      </w:r>
    </w:p>
    <w:p>
      <w:r>
        <w:t xml:space="preserve">Vollständiges kommerzielles Programm für Partner-Onboarding, Verkauf, Präsentation, Lagerunterstützung, Reporting und monatliche Abrechnung.</w:t>
      </w:r>
    </w:p>
    <w:p>
      <w:r>
        <w:t xml:space="preserve">Juristischer und kommerzieller Arbeitsentwurf. Diese übersetzte Fassung ist zum Lesen, Herunterladen und zur Prüfung durch lokale Rechtsberatung vorbereitet.</w:t>
      </w:r>
    </w:p>
    <w:p>
      <w:pPr>
        <w:pStyle w:val="Heading2"/>
      </w:pPr>
      <w:r>
        <w:t xml:space="preserve">1. Ziel des Programms</w:t>
      </w:r>
    </w:p>
    <w:p>
      <w:r>
        <w:t xml:space="preserve">Das FIXON Partnerprogramm ermöglicht Herstellern, Händlern, Baustofflagern, Verkaufsstellen und Werkzeugverleihkanälen, professionelle Werkzeuge ohne Pflichtinvestition in ein volles Startlager in den Verkauf aufzunehmen.</w:t>
      </w:r>
    </w:p>
    <w:p>
      <w:r>
        <w:t xml:space="preserve">Der Partner nutzt FIXON Werkzeuge als praktische Erweiterung des Materialverkaufs. Das Programm soll Arbeit erleichtern, Ermüdung senken und die Rückkehr des Kunden fördern.</w:t>
      </w:r>
    </w:p>
    <w:p>
      <w:pPr>
        <w:pStyle w:val="Heading2"/>
      </w:pPr>
      <w:r>
        <w:t xml:space="preserve">2. Startmodell</w:t>
      </w:r>
    </w:p>
    <w:p>
      <w:r>
        <w:t xml:space="preserve">Empfohlen ist ein Pilot mit Demonstration, QR-Codes, E-Katalog und einer schmalen Produktauswahl passend zum Kundenprofil des Partners.</w:t>
      </w:r>
    </w:p>
    <w:p>
      <w:r>
        <w:t xml:space="preserve">Ein voller Lageraufbau ist keine Teilnahmebedingung, sofern die Parteien nichts anderes in einer lokalen Bestellung, Pilotkarte oder Lageranlage vereinbaren.</w:t>
      </w:r>
    </w:p>
    <w:p>
      <w:pPr>
        <w:pStyle w:val="Heading2"/>
      </w:pPr>
      <w:r>
        <w:t xml:space="preserve">3. Verkaufsmethode</w:t>
      </w:r>
    </w:p>
    <w:p>
      <w:r>
        <w:t xml:space="preserve">Der beste Moment zur Bedarfserkennung ist der Materialkauf. Der Verkäufer fragt nach Material, Last, Teamgröße, Baustellensituation und wiederkehrenden Problemen.</w:t>
      </w:r>
    </w:p>
    <w:p>
      <w:r>
        <w:t xml:space="preserve">Der E-Katalog führt schnell zum Zielwerkzeug, ohne dass das Team das gesamte Sortiment vor dem Start auswendig lernen muss.</w:t>
      </w:r>
    </w:p>
    <w:p>
      <w:pPr>
        <w:pStyle w:val="Heading2"/>
      </w:pPr>
      <w:r>
        <w:t xml:space="preserve">4. Abrechnung</w:t>
      </w:r>
    </w:p>
    <w:p>
      <w:r>
        <w:t xml:space="preserve">Verkäufe werden nach einem bestätigten Verkaufszeitraum abgerechnet. Der Standardrhythmus ist monatlich und basiert auf Bericht, bestätigten Verkaufsdaten und vereinbarten Lagerbewegungen.</w:t>
      </w:r>
    </w:p>
    <w:p>
      <w:pPr>
        <w:pStyle w:val="Heading2"/>
      </w:pPr>
      <w:r>
        <w:t xml:space="preserve">Lokalisierung nach Land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Land</w:t>
            </w:r>
          </w:p>
        </w:tc>
        <w:tc>
          <w:tcPr>
            <w:tcW w:w="2400" w:type="dxa"/>
          </w:tcPr>
          <w:p>
            <w:r>
              <w:t xml:space="preserve">Anpassung</w:t>
            </w:r>
          </w:p>
        </w:tc>
      </w:tr>
      <w:tr>
        <w:tc>
          <w:tcPr>
            <w:tcW w:w="2400" w:type="dxa"/>
          </w:tcPr>
          <w:p>
            <w:r>
              <w:t xml:space="preserve">UK</w:t>
            </w:r>
          </w:p>
        </w:tc>
        <w:tc>
          <w:tcPr>
            <w:tcW w:w="2400" w:type="dxa"/>
          </w:tcPr>
          <w:p>
            <w:r>
              <w:t xml:space="preserve">UK-Rechtswahl und Zuständigkeit einsetzen; UK GDPR, PECR, Produkthaftung und B2B-Verkaufsbedingungen prüfen.</w:t>
            </w:r>
          </w:p>
        </w:tc>
      </w:tr>
      <w:tr>
        <w:tc>
          <w:tcPr>
            <w:tcW w:w="2400" w:type="dxa"/>
          </w:tcPr>
          <w:p>
            <w:r>
              <w:t xml:space="preserve">USA</w:t>
            </w:r>
          </w:p>
        </w:tc>
        <w:tc>
          <w:tcPr>
            <w:tcW w:w="2400" w:type="dxa"/>
          </w:tcPr>
          <w:p>
            <w:r>
              <w:t xml:space="preserve">Bundesstaatliches Recht und Gerichtsstand einsetzen; Business-Opportunity-/Franchise-Risiken, Ertragsaussagen, Gewährleistung, Sales Tax und Datenschutz prüfen.</w:t>
            </w:r>
          </w:p>
        </w:tc>
      </w:tr>
      <w:tr>
        <w:tc>
          <w:tcPr>
            <w:tcW w:w="2400" w:type="dxa"/>
          </w:tcPr>
          <w:p>
            <w:r>
              <w:t xml:space="preserve">Kanada</w:t>
            </w:r>
          </w:p>
        </w:tc>
        <w:tc>
          <w:tcPr>
            <w:tcW w:w="2400" w:type="dxa"/>
          </w:tcPr>
          <w:p>
            <w:r>
              <w:t xml:space="preserve">Provinzspezifisches Recht einsetzen; CASL, Datenschutz, mögliche Zweisprachigkeit, Gewährleistung, Steuern und Produktsicherheit prüfen.</w:t>
            </w:r>
          </w:p>
        </w:tc>
      </w:tr>
      <w:tr>
        <w:tc>
          <w:tcPr>
            <w:tcW w:w="2400" w:type="dxa"/>
          </w:tcPr>
          <w:p>
            <w:r>
              <w:t xml:space="preserve">Australien</w:t>
            </w:r>
          </w:p>
        </w:tc>
        <w:tc>
          <w:tcPr>
            <w:tcW w:w="2400" w:type="dxa"/>
          </w:tcPr>
          <w:p>
            <w:r>
              <w:t xml:space="preserve">Australian Consumer Law, unfair contract terms, Datenschutz, Produktsicherheit, Gewährleistung, Import und Steuern prüfen.</w:t>
            </w:r>
          </w:p>
        </w:tc>
      </w:tr>
      <w:tr>
        <w:tc>
          <w:tcPr>
            <w:tcW w:w="2400" w:type="dxa"/>
          </w:tcPr>
          <w:p>
            <w:r>
              <w:t xml:space="preserve">Südafrika</w:t>
            </w:r>
          </w:p>
        </w:tc>
        <w:tc>
          <w:tcPr>
            <w:tcW w:w="2400" w:type="dxa"/>
          </w:tcPr>
          <w:p>
            <w:r>
              <w:t xml:space="preserve">POPIA, elektronische Kommunikation, Consumer-Protection-Risiken, Produkthaftung, Import, Steuern und Streitbeilegung prüfen.</w:t>
            </w:r>
          </w:p>
        </w:tc>
      </w:tr>
      <w:tr>
        <w:tc>
          <w:tcPr>
            <w:tcW w:w="2400" w:type="dxa"/>
          </w:tcPr>
          <w:p>
            <w:r>
              <w:t xml:space="preserve">Deutschland</w:t>
            </w:r>
          </w:p>
        </w:tc>
        <w:tc>
          <w:tcPr>
            <w:tcW w:w="2400" w:type="dxa"/>
          </w:tcPr>
          <w:p>
            <w:r>
              <w:t xml:space="preserve">Deutsches Recht verwenden; BGB/HGB, DSGVO/BDSG, UWG, Gewährleistung, Eigentumsvorbehalt und AGB-Kontrolle prüfen.</w:t>
            </w:r>
          </w:p>
        </w:tc>
      </w:tr>
      <w:tr>
        <w:tc>
          <w:tcPr>
            <w:tcW w:w="2400" w:type="dxa"/>
          </w:tcPr>
          <w:p>
            <w:r>
              <w:t xml:space="preserve">Österreich</w:t>
            </w:r>
          </w:p>
        </w:tc>
        <w:tc>
          <w:tcPr>
            <w:tcW w:w="2400" w:type="dxa"/>
          </w:tcPr>
          <w:p>
            <w:r>
              <w:t xml:space="preserve">Österreichisches Recht verwenden; ABGB/UGB, DSGVO/DSG, UWG, Gewährleistung, Eigentumsvorbehalt und AGB-Kontrolle prüfen.</w:t>
            </w:r>
          </w:p>
        </w:tc>
      </w:tr>
      <w:tr>
        <w:tc>
          <w:tcPr>
            <w:tcW w:w="2400" w:type="dxa"/>
          </w:tcPr>
          <w:p>
            <w:r>
              <w:t xml:space="preserve">Schweiz</w:t>
            </w:r>
          </w:p>
        </w:tc>
        <w:tc>
          <w:tcPr>
            <w:tcW w:w="2400" w:type="dxa"/>
          </w:tcPr>
          <w:p>
            <w:r>
              <w:t xml:space="preserve">Schweizer Recht verwenden; Obligationenrecht, revidiertes DSG, Wettbewerbsrecht, Gewährleistung und Datenübermittlung prüfen.</w:t>
            </w:r>
          </w:p>
        </w:tc>
      </w:tr>
    </w:tbl>
    <w:p>
      <w:pPr>
        <w:pStyle w:val="Heading2"/>
      </w:pPr>
      <w:r>
        <w:t xml:space="preserve">Lokale Klauseln vor Unterschrift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Bereich</w:t>
            </w:r>
          </w:p>
        </w:tc>
        <w:tc>
          <w:tcPr>
            <w:tcW w:w="2400" w:type="dxa"/>
          </w:tcPr>
          <w:p>
            <w:r>
              <w:t xml:space="preserve">Vor Nutzung zu pruefen</w:t>
            </w:r>
          </w:p>
        </w:tc>
      </w:tr>
      <w:tr>
        <w:tc>
          <w:tcPr>
            <w:tcW w:w="2400" w:type="dxa"/>
          </w:tcPr>
          <w:p>
            <w:r>
              <w:t xml:space="preserve">Rechtswahl</w:t>
            </w:r>
          </w:p>
        </w:tc>
        <w:tc>
          <w:tcPr>
            <w:tcW w:w="2400" w:type="dxa"/>
          </w:tcPr>
          <w:p>
            <w:r>
              <w:t xml:space="preserve">Land, Gerichtsstand, Sprache und Streitbeilegung</w:t>
            </w:r>
          </w:p>
        </w:tc>
      </w:tr>
      <w:tr>
        <w:tc>
          <w:tcPr>
            <w:tcW w:w="2400" w:type="dxa"/>
          </w:tcPr>
          <w:p>
            <w:r>
              <w:t xml:space="preserve">Datenschutz</w:t>
            </w:r>
          </w:p>
        </w:tc>
        <w:tc>
          <w:tcPr>
            <w:tcW w:w="2400" w:type="dxa"/>
          </w:tcPr>
          <w:p>
            <w:r>
              <w:t xml:space="preserve">Rollen, Hinweise, Einwilligungen und Datenuebermittlung</w:t>
            </w:r>
          </w:p>
        </w:tc>
      </w:tr>
      <w:tr>
        <w:tc>
          <w:tcPr>
            <w:tcW w:w="2400" w:type="dxa"/>
          </w:tcPr>
          <w:p>
            <w:r>
              <w:t xml:space="preserve">Produkt &amp; Verkauf</w:t>
            </w:r>
          </w:p>
        </w:tc>
        <w:tc>
          <w:tcPr>
            <w:tcW w:w="2400" w:type="dxa"/>
          </w:tcPr>
          <w:p>
            <w:r>
              <w:t xml:space="preserve">Gewaehrleistung, Haftung, Sicherheit, Steuern und Import</w:t>
            </w:r>
          </w:p>
        </w:tc>
      </w:tr>
      <w:tr>
        <w:tc>
          <w:tcPr>
            <w:tcW w:w="2400" w:type="dxa"/>
          </w:tcPr>
          <w:p>
            <w:r>
              <w:t xml:space="preserve">Marketing</w:t>
            </w:r>
          </w:p>
        </w:tc>
        <w:tc>
          <w:tcPr>
            <w:tcW w:w="2400" w:type="dxa"/>
          </w:tcPr>
          <w:p>
            <w:r>
              <w:t xml:space="preserve">Elektronische Kommunikation, Aussagen, Testimonials und Preisangaben</w:t>
            </w:r>
          </w:p>
        </w:tc>
      </w:tr>
    </w:tbl>
    <w:p>
      <w:pPr>
        <w:pStyle w:val="Heading2"/>
      </w:pPr>
      <w:r>
        <w:t xml:space="preserve">Dokumenttabelle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Programme level</w:t>
            </w:r>
          </w:p>
        </w:tc>
        <w:tc>
          <w:tcPr>
            <w:tcW w:w="2400" w:type="dxa"/>
          </w:tcPr>
          <w:p>
            <w:r>
              <w:t xml:space="preserve">Commercial meaning</w:t>
            </w:r>
          </w:p>
        </w:tc>
      </w:tr>
      <w:tr>
        <w:tc>
          <w:tcPr>
            <w:tcW w:w="2400" w:type="dxa"/>
          </w:tcPr>
          <w:p>
            <w:r>
              <w:t xml:space="preserve">Pilot Partner</w:t>
            </w:r>
          </w:p>
        </w:tc>
        <w:tc>
          <w:tcPr>
            <w:tcW w:w="2400" w:type="dxa"/>
          </w:tcPr>
          <w:p>
            <w:r>
              <w:t xml:space="preserve">QR, e-catalogue, demonstration and selected test products</w:t>
            </w:r>
          </w:p>
        </w:tc>
      </w:tr>
      <w:tr>
        <w:tc>
          <w:tcPr>
            <w:tcW w:w="2400" w:type="dxa"/>
          </w:tcPr>
          <w:p>
            <w:r>
              <w:t xml:space="preserve">Active Partner</w:t>
            </w:r>
          </w:p>
        </w:tc>
        <w:tc>
          <w:tcPr>
            <w:tcW w:w="2400" w:type="dxa"/>
          </w:tcPr>
          <w:p>
            <w:r>
              <w:t xml:space="preserve">Monatlich reporting, agreed stock logic and regular product availability</w:t>
            </w:r>
          </w:p>
        </w:tc>
      </w:tr>
      <w:tr>
        <w:tc>
          <w:tcPr>
            <w:tcW w:w="2400" w:type="dxa"/>
          </w:tcPr>
          <w:p>
            <w:r>
              <w:t xml:space="preserve">Strategic Partner</w:t>
            </w:r>
          </w:p>
        </w:tc>
        <w:tc>
          <w:tcPr>
            <w:tcW w:w="2400" w:type="dxa"/>
          </w:tcPr>
          <w:p>
            <w:r>
              <w:t xml:space="preserve">Individual entitlements, demonstration centre or extended network cooperation</w:t>
            </w:r>
          </w:p>
        </w:tc>
      </w:tr>
    </w:tbl>
    <w:p>
      <w:r>
        <w:t xml:space="preserve">Karolina Tarasenko, Spezialistin für den Ausbau des Partnernetzwerks, +48 531 448 893, heorhiibronnikov.commercial@gmail.com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rPr>
      <w:b/>
      <w:color w:val="124A2E"/>
      <w:sz w:val="38"/>
    </w:rPr>
  </w:style>
  <w:style w:type="paragraph" w:styleId="Heading2">
    <w:name w:val="heading 2"/>
    <w:basedOn w:val="Normal"/>
    <w:rPr>
      <w:b/>
      <w:color w:val="06271B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