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FIXON Partnervertrag</w:t>
      </w:r>
    </w:p>
    <w:p>
      <w:r>
        <w:t xml:space="preserve">Partnervertragsvorlage für kommerzielle Zusammenarbeit, Verantwortlichkeiten, Reporting, Lagerunterstützung, Vertraulichkeit, Markennutzung und Beendigung.</w:t>
      </w:r>
    </w:p>
    <w:p>
      <w:r>
        <w:t xml:space="preserve">Juristischer und kommerzieller Arbeitsentwurf. Diese übersetzte Fassung ist zum Lesen, Herunterladen und zur Prüfung durch lokale Rechtsberatung vorbereitet.</w:t>
      </w:r>
    </w:p>
    <w:p>
      <w:pPr>
        <w:pStyle w:val="Heading2"/>
      </w:pPr>
      <w:r>
        <w:t xml:space="preserve">1. Parteien und Status</w:t>
      </w:r>
    </w:p>
    <w:p>
      <w:r>
        <w:t xml:space="preserve">Der Vertrag wird zwischen FIXON und dem in der Partnerkarte benannten Partner geschlossen. Der Partner bleibt selbständiges Unternehmen und ist ohne ausdrückliche schriftliche Zustimmung kein Vertreter, Arbeitnehmer oder Rechtsagent von FIXON.</w:t>
      </w:r>
    </w:p>
    <w:p>
      <w:r>
        <w:t xml:space="preserve">Der Vertrag begründet kein Franchise, keine Business Opportunity, kein Arbeitsverhältnis und kein exklusives Vertriebsrecht, sofern die lokale Fassung dies nicht ausdrücklich vorsieht.</w:t>
      </w:r>
    </w:p>
    <w:p>
      <w:pPr>
        <w:pStyle w:val="Heading2"/>
      </w:pPr>
      <w:r>
        <w:t xml:space="preserve">2. Kommerzielle Zusammenarbeit</w:t>
      </w:r>
    </w:p>
    <w:p>
      <w:r>
        <w:t xml:space="preserve">Der Partner darf FIXON Produkte über den vereinbarten Kanal bewerben, demonstrieren und verkaufen. Produkte, Lager, Preise, Rabatte und Displaymaterial werden in Anlagen geregelt.</w:t>
      </w:r>
    </w:p>
    <w:p>
      <w:r>
        <w:t xml:space="preserve">Es werden keine garantierten Erträge, Margen oder Verkaufsvolumina zugesagt. Prognosen sind nur indikativ und lokal rechtlich zu prüfen.</w:t>
      </w:r>
    </w:p>
    <w:p>
      <w:pPr>
        <w:pStyle w:val="Heading2"/>
      </w:pPr>
      <w:r>
        <w:t xml:space="preserve">3. Reporting und Abrechnung</w:t>
      </w:r>
    </w:p>
    <w:p>
      <w:r>
        <w:t xml:space="preserve">Der Partner liefert monatliche Berichte zu Verkauf, Lager, Rückgaben, Ausnahmeereignissen und Kundenfeedback. Die Abrechnung erfolgt nach Bestätigung des relevanten Zeitraums.</w:t>
      </w:r>
    </w:p>
    <w:p>
      <w:pPr>
        <w:pStyle w:val="Heading2"/>
      </w:pPr>
      <w:r>
        <w:t xml:space="preserve">4. Marke, Daten und Beendigung</w:t>
      </w:r>
    </w:p>
    <w:p>
      <w:r>
        <w:t xml:space="preserve">Die Marke FIXON wird nur gemäß Markenrichtlinie und freigegebenen Materialien genutzt. Datenschutz und elektronische Kommunikation müssen dem jeweiligen Markt entsprechen.</w:t>
      </w:r>
    </w:p>
    <w:p>
      <w:pPr>
        <w:pStyle w:val="Heading2"/>
      </w:pPr>
      <w:r>
        <w:t xml:space="preserve">Lokalisierung nach Land</w:t>
      </w:r>
    </w:p>
    <w:tbl>
      <w:tblPr>
        <w:tblW w:w="0" w:type="auto"/>
        <w:tblBorders>
          <w:top w:val="single" w:sz="4"/>
          <w:left w:val="single" w:sz="4"/>
          <w:bottom w:val="single" w:sz="4"/>
          <w:right w:val="single" w:sz="4"/>
          <w:insideH w:val="single" w:sz="4"/>
          <w:insideV w:val="single" w:sz="4"/>
        </w:tblBorders>
      </w:tblPr>
      <w:tr>
        <w:tc>
          <w:tcPr>
            <w:tcW w:w="2400" w:type="dxa"/>
          </w:tcPr>
          <w:p>
            <w:r>
              <w:t xml:space="preserve">Land</w:t>
            </w:r>
          </w:p>
        </w:tc>
        <w:tc>
          <w:tcPr>
            <w:tcW w:w="2400" w:type="dxa"/>
          </w:tcPr>
          <w:p>
            <w:r>
              <w:t xml:space="preserve">Anpassung</w:t>
            </w:r>
          </w:p>
        </w:tc>
      </w:tr>
      <w:tr>
        <w:tc>
          <w:tcPr>
            <w:tcW w:w="2400" w:type="dxa"/>
          </w:tcPr>
          <w:p>
            <w:r>
              <w:t xml:space="preserve">UK</w:t>
            </w:r>
          </w:p>
        </w:tc>
        <w:tc>
          <w:tcPr>
            <w:tcW w:w="2400" w:type="dxa"/>
          </w:tcPr>
          <w:p>
            <w:r>
              <w:t xml:space="preserve">UK-Rechtswahl und Zuständigkeit einsetzen; UK GDPR, PECR, Produkthaftung und B2B-Verkaufsbedingungen prüfen.</w:t>
            </w:r>
          </w:p>
        </w:tc>
      </w:tr>
      <w:tr>
        <w:tc>
          <w:tcPr>
            <w:tcW w:w="2400" w:type="dxa"/>
          </w:tcPr>
          <w:p>
            <w:r>
              <w:t xml:space="preserve">USA</w:t>
            </w:r>
          </w:p>
        </w:tc>
        <w:tc>
          <w:tcPr>
            <w:tcW w:w="2400" w:type="dxa"/>
          </w:tcPr>
          <w:p>
            <w:r>
              <w:t xml:space="preserve">Bundesstaatliches Recht und Gerichtsstand einsetzen; Business-Opportunity-/Franchise-Risiken, Ertragsaussagen, Gewährleistung, Sales Tax und Datenschutz prüfen.</w:t>
            </w:r>
          </w:p>
        </w:tc>
      </w:tr>
      <w:tr>
        <w:tc>
          <w:tcPr>
            <w:tcW w:w="2400" w:type="dxa"/>
          </w:tcPr>
          <w:p>
            <w:r>
              <w:t xml:space="preserve">Kanada</w:t>
            </w:r>
          </w:p>
        </w:tc>
        <w:tc>
          <w:tcPr>
            <w:tcW w:w="2400" w:type="dxa"/>
          </w:tcPr>
          <w:p>
            <w:r>
              <w:t xml:space="preserve">Provinzspezifisches Recht einsetzen; CASL, Datenschutz, mögliche Zweisprachigkeit, Gewährleistung, Steuern und Produktsicherheit prüfen.</w:t>
            </w:r>
          </w:p>
        </w:tc>
      </w:tr>
      <w:tr>
        <w:tc>
          <w:tcPr>
            <w:tcW w:w="2400" w:type="dxa"/>
          </w:tcPr>
          <w:p>
            <w:r>
              <w:t xml:space="preserve">Australien</w:t>
            </w:r>
          </w:p>
        </w:tc>
        <w:tc>
          <w:tcPr>
            <w:tcW w:w="2400" w:type="dxa"/>
          </w:tcPr>
          <w:p>
            <w:r>
              <w:t xml:space="preserve">Australian Consumer Law, unfair contract terms, Datenschutz, Produktsicherheit, Gewährleistung, Import und Steuern prüfen.</w:t>
            </w:r>
          </w:p>
        </w:tc>
      </w:tr>
      <w:tr>
        <w:tc>
          <w:tcPr>
            <w:tcW w:w="2400" w:type="dxa"/>
          </w:tcPr>
          <w:p>
            <w:r>
              <w:t xml:space="preserve">Südafrika</w:t>
            </w:r>
          </w:p>
        </w:tc>
        <w:tc>
          <w:tcPr>
            <w:tcW w:w="2400" w:type="dxa"/>
          </w:tcPr>
          <w:p>
            <w:r>
              <w:t xml:space="preserve">POPIA, elektronische Kommunikation, Consumer-Protection-Risiken, Produkthaftung, Import, Steuern und Streitbeilegung prüfen.</w:t>
            </w:r>
          </w:p>
        </w:tc>
      </w:tr>
      <w:tr>
        <w:tc>
          <w:tcPr>
            <w:tcW w:w="2400" w:type="dxa"/>
          </w:tcPr>
          <w:p>
            <w:r>
              <w:t xml:space="preserve">Deutschland</w:t>
            </w:r>
          </w:p>
        </w:tc>
        <w:tc>
          <w:tcPr>
            <w:tcW w:w="2400" w:type="dxa"/>
          </w:tcPr>
          <w:p>
            <w:r>
              <w:t xml:space="preserve">Deutsches Recht verwenden; BGB/HGB, DSGVO/BDSG, UWG, Gewährleistung, Eigentumsvorbehalt und AGB-Kontrolle prüfen.</w:t>
            </w:r>
          </w:p>
        </w:tc>
      </w:tr>
      <w:tr>
        <w:tc>
          <w:tcPr>
            <w:tcW w:w="2400" w:type="dxa"/>
          </w:tcPr>
          <w:p>
            <w:r>
              <w:t xml:space="preserve">Österreich</w:t>
            </w:r>
          </w:p>
        </w:tc>
        <w:tc>
          <w:tcPr>
            <w:tcW w:w="2400" w:type="dxa"/>
          </w:tcPr>
          <w:p>
            <w:r>
              <w:t xml:space="preserve">Österreichisches Recht verwenden; ABGB/UGB, DSGVO/DSG, UWG, Gewährleistung, Eigentumsvorbehalt und AGB-Kontrolle prüfen.</w:t>
            </w:r>
          </w:p>
        </w:tc>
      </w:tr>
      <w:tr>
        <w:tc>
          <w:tcPr>
            <w:tcW w:w="2400" w:type="dxa"/>
          </w:tcPr>
          <w:p>
            <w:r>
              <w:t xml:space="preserve">Schweiz</w:t>
            </w:r>
          </w:p>
        </w:tc>
        <w:tc>
          <w:tcPr>
            <w:tcW w:w="2400" w:type="dxa"/>
          </w:tcPr>
          <w:p>
            <w:r>
              <w:t xml:space="preserve">Schweizer Recht verwenden; Obligationenrecht, revidiertes DSG, Wettbewerbsrecht, Gewährleistung und Datenübermittlung prüfen.</w:t>
            </w:r>
          </w:p>
        </w:tc>
      </w:tr>
    </w:tbl>
    <w:p>
      <w:pPr>
        <w:pStyle w:val="Heading2"/>
      </w:pPr>
      <w:r>
        <w:t xml:space="preserve">Lokale Klauseln vor Unterschrift</w:t>
      </w:r>
    </w:p>
    <w:tbl>
      <w:tblPr>
        <w:tblW w:w="0" w:type="auto"/>
        <w:tblBorders>
          <w:top w:val="single" w:sz="4"/>
          <w:left w:val="single" w:sz="4"/>
          <w:bottom w:val="single" w:sz="4"/>
          <w:right w:val="single" w:sz="4"/>
          <w:insideH w:val="single" w:sz="4"/>
          <w:insideV w:val="single" w:sz="4"/>
        </w:tblBorders>
      </w:tblPr>
      <w:tr>
        <w:tc>
          <w:tcPr>
            <w:tcW w:w="2400" w:type="dxa"/>
          </w:tcPr>
          <w:p>
            <w:r>
              <w:t xml:space="preserve">Bereich</w:t>
            </w:r>
          </w:p>
        </w:tc>
        <w:tc>
          <w:tcPr>
            <w:tcW w:w="2400" w:type="dxa"/>
          </w:tcPr>
          <w:p>
            <w:r>
              <w:t xml:space="preserve">Vor Nutzung zu pruefen</w:t>
            </w:r>
          </w:p>
        </w:tc>
      </w:tr>
      <w:tr>
        <w:tc>
          <w:tcPr>
            <w:tcW w:w="2400" w:type="dxa"/>
          </w:tcPr>
          <w:p>
            <w:r>
              <w:t xml:space="preserve">Rechtswahl</w:t>
            </w:r>
          </w:p>
        </w:tc>
        <w:tc>
          <w:tcPr>
            <w:tcW w:w="2400" w:type="dxa"/>
          </w:tcPr>
          <w:p>
            <w:r>
              <w:t xml:space="preserve">Land, Gerichtsstand, Sprache und Streitbeilegung</w:t>
            </w:r>
          </w:p>
        </w:tc>
      </w:tr>
      <w:tr>
        <w:tc>
          <w:tcPr>
            <w:tcW w:w="2400" w:type="dxa"/>
          </w:tcPr>
          <w:p>
            <w:r>
              <w:t xml:space="preserve">Datenschutz</w:t>
            </w:r>
          </w:p>
        </w:tc>
        <w:tc>
          <w:tcPr>
            <w:tcW w:w="2400" w:type="dxa"/>
          </w:tcPr>
          <w:p>
            <w:r>
              <w:t xml:space="preserve">Rollen, Hinweise, Einwilligungen und Datenuebermittlung</w:t>
            </w:r>
          </w:p>
        </w:tc>
      </w:tr>
      <w:tr>
        <w:tc>
          <w:tcPr>
            <w:tcW w:w="2400" w:type="dxa"/>
          </w:tcPr>
          <w:p>
            <w:r>
              <w:t xml:space="preserve">Produkt &amp; Verkauf</w:t>
            </w:r>
          </w:p>
        </w:tc>
        <w:tc>
          <w:tcPr>
            <w:tcW w:w="2400" w:type="dxa"/>
          </w:tcPr>
          <w:p>
            <w:r>
              <w:t xml:space="preserve">Gewaehrleistung, Haftung, Sicherheit, Steuern und Import</w:t>
            </w:r>
          </w:p>
        </w:tc>
      </w:tr>
      <w:tr>
        <w:tc>
          <w:tcPr>
            <w:tcW w:w="2400" w:type="dxa"/>
          </w:tcPr>
          <w:p>
            <w:r>
              <w:t xml:space="preserve">Marketing</w:t>
            </w:r>
          </w:p>
        </w:tc>
        <w:tc>
          <w:tcPr>
            <w:tcW w:w="2400" w:type="dxa"/>
          </w:tcPr>
          <w:p>
            <w:r>
              <w:t xml:space="preserve">Elektronische Kommunikation, Aussagen, Testimonials und Preisangaben</w:t>
            </w:r>
          </w:p>
        </w:tc>
      </w:tr>
    </w:tbl>
    <w:p>
      <w:pPr>
        <w:pStyle w:val="Heading2"/>
      </w:pPr>
      <w:r>
        <w:t xml:space="preserve">Dokumenttabelle</w:t>
      </w:r>
    </w:p>
    <w:tbl>
      <w:tblPr>
        <w:tblW w:w="0" w:type="auto"/>
        <w:tblBorders>
          <w:top w:val="single" w:sz="4"/>
          <w:left w:val="single" w:sz="4"/>
          <w:bottom w:val="single" w:sz="4"/>
          <w:right w:val="single" w:sz="4"/>
          <w:insideH w:val="single" w:sz="4"/>
          <w:insideV w:val="single" w:sz="4"/>
        </w:tblBorders>
      </w:tblPr>
      <w:tr>
        <w:tc>
          <w:tcPr>
            <w:tcW w:w="2400" w:type="dxa"/>
          </w:tcPr>
          <w:p>
            <w:r>
              <w:t xml:space="preserve">Clause area</w:t>
            </w:r>
          </w:p>
        </w:tc>
        <w:tc>
          <w:tcPr>
            <w:tcW w:w="2400" w:type="dxa"/>
          </w:tcPr>
          <w:p>
            <w:r>
              <w:t xml:space="preserve">Localisation before signature</w:t>
            </w:r>
          </w:p>
        </w:tc>
      </w:tr>
      <w:tr>
        <w:tc>
          <w:tcPr>
            <w:tcW w:w="2400" w:type="dxa"/>
          </w:tcPr>
          <w:p>
            <w:r>
              <w:t xml:space="preserve">Governing law</w:t>
            </w:r>
          </w:p>
        </w:tc>
        <w:tc>
          <w:tcPr>
            <w:tcW w:w="2400" w:type="dxa"/>
          </w:tcPr>
          <w:p>
            <w:r>
              <w:t xml:space="preserve">Insert country/state/province/canton-specific law and venue</w:t>
            </w:r>
          </w:p>
        </w:tc>
      </w:tr>
      <w:tr>
        <w:tc>
          <w:tcPr>
            <w:tcW w:w="2400" w:type="dxa"/>
          </w:tcPr>
          <w:p>
            <w:r>
              <w:t xml:space="preserve">Data processing</w:t>
            </w:r>
          </w:p>
        </w:tc>
        <w:tc>
          <w:tcPr>
            <w:tcW w:w="2400" w:type="dxa"/>
          </w:tcPr>
          <w:p>
            <w:r>
              <w:t xml:space="preserve">Define controller/processor roles and marketing consent</w:t>
            </w:r>
          </w:p>
        </w:tc>
      </w:tr>
      <w:tr>
        <w:tc>
          <w:tcPr>
            <w:tcW w:w="2400" w:type="dxa"/>
          </w:tcPr>
          <w:p>
            <w:r>
              <w:t xml:space="preserve">Produkt liability</w:t>
            </w:r>
          </w:p>
        </w:tc>
        <w:tc>
          <w:tcPr>
            <w:tcW w:w="2400" w:type="dxa"/>
          </w:tcPr>
          <w:p>
            <w:r>
              <w:t xml:space="preserve">Localise warranty, warnings, returns and liability limits</w:t>
            </w:r>
          </w:p>
        </w:tc>
      </w:tr>
      <w:tr>
        <w:tc>
          <w:tcPr>
            <w:tcW w:w="2400" w:type="dxa"/>
          </w:tcPr>
          <w:p>
            <w:r>
              <w:t xml:space="preserve">Business opportunity risk</w:t>
            </w:r>
          </w:p>
        </w:tc>
        <w:tc>
          <w:tcPr>
            <w:tcW w:w="2400" w:type="dxa"/>
          </w:tcPr>
          <w:p>
            <w:r>
              <w:t xml:space="preserve">Review especially for the USA and other regulated markets</w:t>
            </w:r>
          </w:p>
        </w:tc>
      </w:tr>
    </w:tbl>
    <w:p>
      <w:r>
        <w:t xml:space="preserve">Karolina Tarasenko, Spezialistin für den Ausbau des Partnernetzwerks, +48 531 448 893, heorhiibronnikov.commercial@gmail.com</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