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Karte für strategische Sonderrechte</w:t>
      </w:r>
    </w:p>
    <w:p>
      <w:r>
        <w:t xml:space="preserve">Strategic entitlement card for individually granted partner benefits or extended rights.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Entitlement</w:t>
            </w:r>
          </w:p>
        </w:tc>
        <w:tc>
          <w:tcPr>
            <w:tcW w:w="2400" w:type="dxa"/>
          </w:tcPr>
          <w:p>
            <w:r>
              <w:t xml:space="preserve">Scope</w:t>
            </w:r>
          </w:p>
        </w:tc>
        <w:tc>
          <w:tcPr>
            <w:tcW w:w="2400" w:type="dxa"/>
          </w:tcPr>
          <w:p>
            <w:r>
              <w:t xml:space="preserve">Validity</w:t>
            </w:r>
          </w:p>
        </w:tc>
        <w:tc>
          <w:tcPr>
            <w:tcW w:w="2400" w:type="dxa"/>
          </w:tcPr>
          <w:p>
            <w:r>
              <w:t xml:space="preserve">Condition</w:t>
            </w:r>
          </w:p>
        </w:tc>
      </w:tr>
      <w:tr>
        <w:tc>
          <w:tcPr>
            <w:tcW w:w="2400" w:type="dxa"/>
          </w:tcPr>
          <w:p>
            <w:r>
              <w:t xml:space="preserve">[Example]</w:t>
            </w:r>
          </w:p>
        </w:tc>
        <w:tc>
          <w:tcPr>
            <w:tcW w:w="2400" w:type="dxa"/>
          </w:tcPr>
          <w:p>
            <w:r>
              <w:t xml:space="preserve">[Produkts / territory]</w:t>
            </w:r>
          </w:p>
        </w:tc>
        <w:tc>
          <w:tcPr>
            <w:tcW w:w="2400" w:type="dxa"/>
          </w:tcPr>
          <w:p>
            <w:r>
              <w:t xml:space="preserve">[Date]</w:t>
            </w:r>
          </w:p>
        </w:tc>
        <w:tc>
          <w:tcPr>
            <w:tcW w:w="2400" w:type="dxa"/>
          </w:tcPr>
          <w:p>
            <w:r>
              <w:t xml:space="preserve">[Berichting / display / sales]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