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Anlage: Produktstatus</w:t>
      </w:r>
    </w:p>
    <w:p>
      <w:r>
        <w:t xml:space="preserve">Definitions of product availability and sales statuses used in the catalogue and reports.</w:t>
      </w:r>
    </w:p>
    <w:p>
      <w:r>
        <w:t xml:space="preserve">Juristischer und kommerzieller Arbeitsentwurf. Diese übersetzte Fassung ist zum Lesen, Herunterladen und zur Prüfung durch lokale Rechtsberatung vorbereitet.</w:t>
      </w:r>
    </w:p>
    <w:p>
      <w:pPr>
        <w:pStyle w:val="Heading2"/>
      </w:pPr>
      <w:r>
        <w:t xml:space="preserve">1. Zweck des Dokuments</w:t>
      </w:r>
    </w:p>
    <w:p>
      <w:r>
        <w:t xml:space="preserve">Diese adaptierte Fassung beschreibt die praktische Nutzung des Dokuments im FIXON Partnerprogramm. Sie ersetzt nicht die lokale rechtliche Prüfung.</w:t>
      </w:r>
    </w:p>
    <w:p>
      <w:r>
        <w:t xml:space="preserve">Das Dokument ist für Lesen, Download, interne Abstimmung und Vorbereitung einer lokalen Landesfassung vorgesehen.</w:t>
      </w:r>
    </w:p>
    <w:p>
      <w:pPr>
        <w:pStyle w:val="Heading2"/>
      </w:pPr>
      <w:r>
        <w:t xml:space="preserve">2. Operativer Anwendungsbereich</w:t>
      </w:r>
    </w:p>
    <w:p>
      <w:r>
        <w:t xml:space="preserve">Die Regelung gilt für den vereinbarten Partnerkanal, die im Programm bestätigten Produkte und die im jeweiligen Markt zulässige Kommunikation.</w:t>
      </w:r>
    </w:p>
    <w:p>
      <w:r>
        <w:t xml:space="preserve">Der Start kann ohne Pflicht zum Aufbau eines vollen Lagers erfolgen; QR, E-Katalog, Demonstration und ein Pilotumfang reichen für den Beginn.</w:t>
      </w:r>
    </w:p>
    <w:p>
      <w:pPr>
        <w:pStyle w:val="Heading2"/>
      </w:pPr>
      <w:r>
        <w:t xml:space="preserve">3. Pflichten und Nachweise</w:t>
      </w:r>
    </w:p>
    <w:p>
      <w:r>
        <w:t xml:space="preserve">Der Partner dokumentiert Verkaufs-, Lager-, Rückgabe- und Ausnahmeereignisse nachvollziehbar. FIXON stellt freigegebene Produkt-, Marken- und Kataloginformationen bereit.</w:t>
      </w:r>
    </w:p>
    <w:p>
      <w:r>
        <w:t xml:space="preserve">Monatliche Daten bilden die Grundlage für Abrechnung, Nachversorgung und Weiterentwicklung der Zusammenarbeit.</w:t>
      </w:r>
    </w:p>
    <w:p>
      <w:pPr>
        <w:pStyle w:val="Heading2"/>
      </w:pPr>
      <w:r>
        <w:t xml:space="preserve">4. Lokale Anpassung</w:t>
      </w:r>
    </w:p>
    <w:p>
      <w:r>
        <w:t xml:space="preserve">Vor Unterschrift oder Versand an einen Partner müssen Rechtswahl, Gerichtsstand, Datenschutz, Marketing, Gewährleistung, Produkthaftung, Steuer- und Importregeln an das konkrete Land angepasst werden.</w:t>
      </w:r>
    </w:p>
    <w:p>
      <w:pPr>
        <w:pStyle w:val="Heading2"/>
      </w:pPr>
      <w:r>
        <w:t xml:space="preserve">Lokalisierung nach Land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Land</w:t>
            </w:r>
          </w:p>
        </w:tc>
        <w:tc>
          <w:tcPr>
            <w:tcW w:w="2400" w:type="dxa"/>
          </w:tcPr>
          <w:p>
            <w:r>
              <w:t xml:space="preserve">Anpassung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UK-Rechtswahl und Zuständigkeit einsetzen; UK GDPR, PECR, Produkthaftung und B2B-Verkaufsbedingungen prüfen.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Bundesstaatliches Recht und Gerichtsstand einsetzen; Business-Opportunity-/Franchise-Risiken, Ertragsaussagen, Gewährleistung, Sales Tax und Datenschutz prüfen.</w:t>
            </w:r>
          </w:p>
        </w:tc>
      </w:tr>
      <w:tr>
        <w:tc>
          <w:tcPr>
            <w:tcW w:w="2400" w:type="dxa"/>
          </w:tcPr>
          <w:p>
            <w:r>
              <w:t xml:space="preserve">Kanada</w:t>
            </w:r>
          </w:p>
        </w:tc>
        <w:tc>
          <w:tcPr>
            <w:tcW w:w="2400" w:type="dxa"/>
          </w:tcPr>
          <w:p>
            <w:r>
              <w:t xml:space="preserve">Provinzspezifisches Recht einsetzen; CASL, Datenschutz, mögliche Zweisprachigkeit, Gewährleistung, Steuern und Produktsicherheit prüfen.</w:t>
            </w:r>
          </w:p>
        </w:tc>
      </w:tr>
      <w:tr>
        <w:tc>
          <w:tcPr>
            <w:tcW w:w="2400" w:type="dxa"/>
          </w:tcPr>
          <w:p>
            <w:r>
              <w:t xml:space="preserve">Australien</w:t>
            </w:r>
          </w:p>
        </w:tc>
        <w:tc>
          <w:tcPr>
            <w:tcW w:w="2400" w:type="dxa"/>
          </w:tcPr>
          <w:p>
            <w:r>
              <w:t xml:space="preserve">Australian Consumer Law, unfair contract terms, Datenschutz, Produktsicherheit, Gewährleistung, Import und Steuern prüfen.</w:t>
            </w:r>
          </w:p>
        </w:tc>
      </w:tr>
      <w:tr>
        <w:tc>
          <w:tcPr>
            <w:tcW w:w="2400" w:type="dxa"/>
          </w:tcPr>
          <w:p>
            <w:r>
              <w:t xml:space="preserve">Südafrika</w:t>
            </w:r>
          </w:p>
        </w:tc>
        <w:tc>
          <w:tcPr>
            <w:tcW w:w="2400" w:type="dxa"/>
          </w:tcPr>
          <w:p>
            <w:r>
              <w:t xml:space="preserve">POPIA, elektronische Kommunikation, Consumer-Protection-Risiken, Produkthaftung, Import, Steuern und Streitbeilegung prüfen.</w:t>
            </w:r>
          </w:p>
        </w:tc>
      </w:tr>
      <w:tr>
        <w:tc>
          <w:tcPr>
            <w:tcW w:w="2400" w:type="dxa"/>
          </w:tcPr>
          <w:p>
            <w:r>
              <w:t xml:space="preserve">Deutschland</w:t>
            </w:r>
          </w:p>
        </w:tc>
        <w:tc>
          <w:tcPr>
            <w:tcW w:w="2400" w:type="dxa"/>
          </w:tcPr>
          <w:p>
            <w:r>
              <w:t xml:space="preserve">Deutsches Recht verwenden; BGB/HGB, DSGVO/BDSG,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Österreich</w:t>
            </w:r>
          </w:p>
        </w:tc>
        <w:tc>
          <w:tcPr>
            <w:tcW w:w="2400" w:type="dxa"/>
          </w:tcPr>
          <w:p>
            <w:r>
              <w:t xml:space="preserve">Österreichisches Recht verwenden; ABGB/UGB, DSGVO/DSG, UWG, Gewährleistung, Eigentumsvorbehalt und AGB-Kontrolle prüfen.</w:t>
            </w:r>
          </w:p>
        </w:tc>
      </w:tr>
      <w:tr>
        <w:tc>
          <w:tcPr>
            <w:tcW w:w="2400" w:type="dxa"/>
          </w:tcPr>
          <w:p>
            <w:r>
              <w:t xml:space="preserve">Schweiz</w:t>
            </w:r>
          </w:p>
        </w:tc>
        <w:tc>
          <w:tcPr>
            <w:tcW w:w="2400" w:type="dxa"/>
          </w:tcPr>
          <w:p>
            <w:r>
              <w:t xml:space="preserve">Schweizer Recht verwenden; Obligationenrecht, revidiertes DSG, Wettbewerbsrecht, Gewährleistung und Datenübermittlung prüfen.</w:t>
            </w:r>
          </w:p>
        </w:tc>
      </w:tr>
    </w:tbl>
    <w:p>
      <w:pPr>
        <w:pStyle w:val="Heading2"/>
      </w:pPr>
      <w:r>
        <w:t xml:space="preserve">Lokale Klauseln vor Unterschrift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Bereich</w:t>
            </w:r>
          </w:p>
        </w:tc>
        <w:tc>
          <w:tcPr>
            <w:tcW w:w="2400" w:type="dxa"/>
          </w:tcPr>
          <w:p>
            <w:r>
              <w:t xml:space="preserve">Vor Nutzung zu pruefen</w:t>
            </w:r>
          </w:p>
        </w:tc>
      </w:tr>
      <w:tr>
        <w:tc>
          <w:tcPr>
            <w:tcW w:w="2400" w:type="dxa"/>
          </w:tcPr>
          <w:p>
            <w:r>
              <w:t xml:space="preserve">Rechtswahl</w:t>
            </w:r>
          </w:p>
        </w:tc>
        <w:tc>
          <w:tcPr>
            <w:tcW w:w="2400" w:type="dxa"/>
          </w:tcPr>
          <w:p>
            <w:r>
              <w:t xml:space="preserve">Land, Gerichtsstand, Sprache und Streitbeilegung</w:t>
            </w:r>
          </w:p>
        </w:tc>
      </w:tr>
      <w:tr>
        <w:tc>
          <w:tcPr>
            <w:tcW w:w="2400" w:type="dxa"/>
          </w:tcPr>
          <w:p>
            <w:r>
              <w:t xml:space="preserve">Datenschutz</w:t>
            </w:r>
          </w:p>
        </w:tc>
        <w:tc>
          <w:tcPr>
            <w:tcW w:w="2400" w:type="dxa"/>
          </w:tcPr>
          <w:p>
            <w:r>
              <w:t xml:space="preserve">Rollen, Hinweise, Einwilligungen und Datenuebermittlung</w:t>
            </w:r>
          </w:p>
        </w:tc>
      </w:tr>
      <w:tr>
        <w:tc>
          <w:tcPr>
            <w:tcW w:w="2400" w:type="dxa"/>
          </w:tcPr>
          <w:p>
            <w:r>
              <w:t xml:space="preserve">Produkt &amp; Verkauf</w:t>
            </w:r>
          </w:p>
        </w:tc>
        <w:tc>
          <w:tcPr>
            <w:tcW w:w="2400" w:type="dxa"/>
          </w:tcPr>
          <w:p>
            <w:r>
              <w:t xml:space="preserve">Gewaehrleistung, Haftung, Sicherheit, Steuern und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Elektronische Kommunikation, Aussagen, Testimonials und Preisangaben</w:t>
            </w:r>
          </w:p>
        </w:tc>
      </w:tr>
    </w:tbl>
    <w:p>
      <w:pPr>
        <w:pStyle w:val="Heading2"/>
      </w:pPr>
      <w:r>
        <w:t xml:space="preserve">Dokumenttabelle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Status</w:t>
            </w:r>
          </w:p>
        </w:tc>
        <w:tc>
          <w:tcPr>
            <w:tcW w:w="2400" w:type="dxa"/>
          </w:tcPr>
          <w:p>
            <w:r>
              <w:t xml:space="preserve">Sales meaning</w:t>
            </w:r>
          </w:p>
        </w:tc>
      </w:tr>
      <w:tr>
        <w:tc>
          <w:tcPr>
            <w:tcW w:w="2400" w:type="dxa"/>
          </w:tcPr>
          <w:p>
            <w:r>
              <w:t xml:space="preserve">Verfügbar</w:t>
            </w:r>
          </w:p>
        </w:tc>
        <w:tc>
          <w:tcPr>
            <w:tcW w:w="2400" w:type="dxa"/>
          </w:tcPr>
          <w:p>
            <w:r>
              <w:t xml:space="preserve">Produkt can be offered under current terms</w:t>
            </w:r>
          </w:p>
        </w:tc>
      </w:tr>
      <w:tr>
        <w:tc>
          <w:tcPr>
            <w:tcW w:w="2400" w:type="dxa"/>
          </w:tcPr>
          <w:p>
            <w:r>
              <w:t xml:space="preserve">Order 7 / 14</w:t>
            </w:r>
          </w:p>
        </w:tc>
        <w:tc>
          <w:tcPr>
            <w:tcW w:w="2400" w:type="dxa"/>
          </w:tcPr>
          <w:p>
            <w:r>
              <w:t xml:space="preserve">Produkt expected within the indicated ordering period</w:t>
            </w:r>
          </w:p>
        </w:tc>
      </w:tr>
      <w:tr>
        <w:tc>
          <w:tcPr>
            <w:tcW w:w="2400" w:type="dxa"/>
          </w:tcPr>
          <w:p>
            <w:r>
              <w:t xml:space="preserve">On request</w:t>
            </w:r>
          </w:p>
        </w:tc>
        <w:tc>
          <w:tcPr>
            <w:tcW w:w="2400" w:type="dxa"/>
          </w:tcPr>
          <w:p>
            <w:r>
              <w:t xml:space="preserve">Requires confirmation before customer commitment</w:t>
            </w:r>
          </w:p>
        </w:tc>
      </w:tr>
      <w:tr>
        <w:tc>
          <w:tcPr>
            <w:tcW w:w="2400" w:type="dxa"/>
          </w:tcPr>
          <w:p>
            <w:r>
              <w:t xml:space="preserve">Paused</w:t>
            </w:r>
          </w:p>
        </w:tc>
        <w:tc>
          <w:tcPr>
            <w:tcW w:w="2400" w:type="dxa"/>
          </w:tcPr>
          <w:p>
            <w:r>
              <w:t xml:space="preserve">Do not actively offer until updated</w:t>
            </w:r>
          </w:p>
        </w:tc>
      </w:tr>
      <w:tr>
        <w:tc>
          <w:tcPr>
            <w:tcW w:w="2400" w:type="dxa"/>
          </w:tcPr>
          <w:p>
            <w:r>
              <w:t xml:space="preserve">Discontinued</w:t>
            </w:r>
          </w:p>
        </w:tc>
        <w:tc>
          <w:tcPr>
            <w:tcW w:w="2400" w:type="dxa"/>
          </w:tcPr>
          <w:p>
            <w:r>
              <w:t xml:space="preserve">Do not sell unless replacement or remaining stock is approved</w:t>
            </w:r>
          </w:p>
        </w:tc>
      </w:tr>
    </w:tbl>
    <w:p>
      <w:r>
        <w:t xml:space="preserve">Karolina Tarasenko, Spezialistin für den Ausbau des Partnernetzwerks,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