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FIXON Partner Programme</w:t>
      </w:r>
    </w:p>
    <w:p>
      <w:r>
        <w:t xml:space="preserve">Full commercial programme for partner onboarding, sales, display, stock support, reporting and monthly settlement.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Programme Objective</w:t>
      </w:r>
    </w:p>
    <w:p>
      <w:r>
        <w:t xml:space="preserve">The FIXON Partner Programme enables material producers, distributors, building-material yards, points of sale and tool-rental channels to add professional paving and construction tools to their commercial offer without a mandatory full stock investment at launch.</w:t>
      </w:r>
    </w:p>
    <w:p>
      <w:r>
        <w:t xml:space="preserve">The Partner uses FIXON tools as a practical extension of the material sale. The programme is designed to make the contractor's work easier, reduce fatigue and increase the probability that the customer returns for further purchases.</w:t>
      </w:r>
    </w:p>
    <w:p>
      <w:pPr>
        <w:pStyle w:val="Heading2"/>
      </w:pPr>
      <w:r>
        <w:t xml:space="preserve">2. Start Model</w:t>
      </w:r>
    </w:p>
    <w:p>
      <w:r>
        <w:t xml:space="preserve">The recommended launch model is a pilot based on demonstration, QR codes, the e-catalogue and a narrow selection of products matched to the Partner's customer profile.</w:t>
      </w:r>
    </w:p>
    <w:p>
      <w:r>
        <w:t xml:space="preserve">No upfront purchase of a full starter warehouse is required unless the parties agree otherwise in a local order, pilot card or stock-support appendix.</w:t>
      </w:r>
    </w:p>
    <w:p>
      <w:pPr>
        <w:pStyle w:val="Heading2"/>
      </w:pPr>
      <w:r>
        <w:t xml:space="preserve">3. Sales Method</w:t>
      </w:r>
    </w:p>
    <w:p>
      <w:r>
        <w:t xml:space="preserve">The easiest moment to identify customer needs is during the purchase of materials. The salesperson asks about material type, load, crew size, job-site conditions and repeated pain points.</w:t>
      </w:r>
    </w:p>
    <w:p>
      <w:r>
        <w:t xml:space="preserve">The e-catalogue helps select the target tool quickly, so the sales team does not need to learn the full assortment before starting.</w:t>
      </w:r>
    </w:p>
    <w:p>
      <w:pPr>
        <w:pStyle w:val="Heading2"/>
      </w:pPr>
      <w:r>
        <w:t xml:space="preserve">4. Settlement</w:t>
      </w:r>
    </w:p>
    <w:p>
      <w:r>
        <w:t xml:space="preserve">Sales are settled after a confirmed sales period. The standard rhythm is monthly, based on the report, confirmed sales data and agreed stock movements.</w:t>
      </w:r>
    </w:p>
    <w:p>
      <w:r>
        <w:t xml:space="preserve">Any country-specific tax, invoice, consumer, reseller or reporting requirements must be adapted locally before use.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Programme level</w:t>
            </w:r>
          </w:p>
        </w:tc>
        <w:tc>
          <w:tcPr>
            <w:tcW w:w="2400" w:type="dxa"/>
          </w:tcPr>
          <w:p>
            <w:r>
              <w:t xml:space="preserve">Commercial meaning</w:t>
            </w:r>
          </w:p>
        </w:tc>
      </w:tr>
      <w:tr>
        <w:tc>
          <w:tcPr>
            <w:tcW w:w="2400" w:type="dxa"/>
          </w:tcPr>
          <w:p>
            <w:r>
              <w:t xml:space="preserve">Pilot Partner</w:t>
            </w:r>
          </w:p>
        </w:tc>
        <w:tc>
          <w:tcPr>
            <w:tcW w:w="2400" w:type="dxa"/>
          </w:tcPr>
          <w:p>
            <w:r>
              <w:t xml:space="preserve">QR, e-catalogue, demonstration and selected test products</w:t>
            </w:r>
          </w:p>
        </w:tc>
      </w:tr>
      <w:tr>
        <w:tc>
          <w:tcPr>
            <w:tcW w:w="2400" w:type="dxa"/>
          </w:tcPr>
          <w:p>
            <w:r>
              <w:t xml:space="preserve">Active Partner</w:t>
            </w:r>
          </w:p>
        </w:tc>
        <w:tc>
          <w:tcPr>
            <w:tcW w:w="2400" w:type="dxa"/>
          </w:tcPr>
          <w:p>
            <w:r>
              <w:t xml:space="preserve">Monthly reporting, agreed stock logic and regular product availability</w:t>
            </w:r>
          </w:p>
        </w:tc>
      </w:tr>
      <w:tr>
        <w:tc>
          <w:tcPr>
            <w:tcW w:w="2400" w:type="dxa"/>
          </w:tcPr>
          <w:p>
            <w:r>
              <w:t xml:space="preserve">Strategic Partner</w:t>
            </w:r>
          </w:p>
        </w:tc>
        <w:tc>
          <w:tcPr>
            <w:tcW w:w="2400" w:type="dxa"/>
          </w:tcPr>
          <w:p>
            <w:r>
              <w:t xml:space="preserve">Individual entitlements, demonstration centre or extended network cooperation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