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Appendix: Catalogue Price List</w:t>
      </w:r>
    </w:p>
    <w:p>
      <w:r>
        <w:t xml:space="preserve">Catalogue price-list appendix for sales conversations, discount logic and price updates.</w:t>
      </w:r>
    </w:p>
    <w:p>
      <w:r>
        <w:t xml:space="preserve">Working legal/commercial draft. This translated version is prepared for reading, download and local counsel review before use in the selected country.</w:t>
      </w:r>
    </w:p>
    <w:p>
      <w:pPr>
        <w:pStyle w:val="Heading2"/>
      </w:pPr>
      <w:r>
        <w:t xml:space="preserve">1. Price Use</w:t>
      </w:r>
    </w:p>
    <w:p>
      <w:r>
        <w:t xml:space="preserve">Catalogue prices support sales communication and partner planning. Final prices may depend on currency, tax, delivery, market, discounts and local law.</w:t>
      </w:r>
    </w:p>
    <w:p>
      <w:pPr>
        <w:pStyle w:val="Heading2"/>
      </w:pPr>
      <w:r>
        <w:t xml:space="preserve">2. Changes</w:t>
      </w:r>
    </w:p>
    <w:p>
      <w:r>
        <w:t xml:space="preserve">FIXON may update catalogue prices according to the agreement. The Partner should use the latest approved price list in customer conversations.</w:t>
      </w:r>
    </w:p>
    <w:p>
      <w:pPr>
        <w:pStyle w:val="Heading2"/>
      </w:pPr>
      <w:r>
        <w:t xml:space="preserve">3. Local Requirements</w:t>
      </w:r>
    </w:p>
    <w:p>
      <w:r>
        <w:t xml:space="preserve">Tax display, consumer pricing, resale price restrictions and currency disclosure must be adapted locally.</w:t>
      </w:r>
    </w:p>
    <w:p>
      <w:pPr>
        <w:pStyle w:val="Heading2"/>
      </w:pPr>
      <w:r>
        <w:t xml:space="preserve">Country localisation matrix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Market</w:t>
            </w:r>
          </w:p>
        </w:tc>
        <w:tc>
          <w:tcPr>
            <w:tcW w:w="2400" w:type="dxa"/>
          </w:tcPr>
          <w:p>
            <w:r>
              <w:t xml:space="preserve">Adaptation</w:t>
            </w:r>
          </w:p>
        </w:tc>
      </w:tr>
      <w:tr>
        <w:tc>
          <w:tcPr>
            <w:tcW w:w="2400" w:type="dxa"/>
          </w:tcPr>
          <w:p>
            <w:r>
              <w:t xml:space="preserve">UK</w:t>
            </w:r>
          </w:p>
        </w:tc>
        <w:tc>
          <w:tcPr>
            <w:tcW w:w="2400" w:type="dxa"/>
          </w:tcPr>
          <w:p>
            <w:r>
              <w:t xml:space="preserve">Use UK governing law and jurisdiction where applicable; review UK GDPR, PECR, product liability and B2B sale terms.</w:t>
            </w:r>
          </w:p>
        </w:tc>
      </w:tr>
      <w:tr>
        <w:tc>
          <w:tcPr>
            <w:tcW w:w="2400" w:type="dxa"/>
          </w:tcPr>
          <w:p>
            <w:r>
              <w:t xml:space="preserve">USA</w:t>
            </w:r>
          </w:p>
        </w:tc>
        <w:tc>
          <w:tcPr>
            <w:tcW w:w="2400" w:type="dxa"/>
          </w:tcPr>
          <w:p>
            <w:r>
              <w:t xml:space="preserve">Use state-specific law and venue; review business opportunity/franchise triggers, earnings claims, warranty, sales tax and privacy rules.</w:t>
            </w:r>
          </w:p>
        </w:tc>
      </w:tr>
      <w:tr>
        <w:tc>
          <w:tcPr>
            <w:tcW w:w="2400" w:type="dxa"/>
          </w:tcPr>
          <w:p>
            <w:r>
              <w:t xml:space="preserve">Canada</w:t>
            </w:r>
          </w:p>
        </w:tc>
        <w:tc>
          <w:tcPr>
            <w:tcW w:w="2400" w:type="dxa"/>
          </w:tcPr>
          <w:p>
            <w:r>
              <w:t xml:space="preserve">Use province-specific law; review CASL, privacy, bilingual requirements where applicable, warranty, tax and product safety.</w:t>
            </w:r>
          </w:p>
        </w:tc>
      </w:tr>
      <w:tr>
        <w:tc>
          <w:tcPr>
            <w:tcW w:w="2400" w:type="dxa"/>
          </w:tcPr>
          <w:p>
            <w:r>
              <w:t xml:space="preserve">Australia</w:t>
            </w:r>
          </w:p>
        </w:tc>
        <w:tc>
          <w:tcPr>
            <w:tcW w:w="2400" w:type="dxa"/>
          </w:tcPr>
          <w:p>
            <w:r>
              <w:t xml:space="preserve">Review Australian Consumer Law, unfair contract terms, privacy, product safety, warranty, import and tax clauses.</w:t>
            </w:r>
          </w:p>
        </w:tc>
      </w:tr>
      <w:tr>
        <w:tc>
          <w:tcPr>
            <w:tcW w:w="2400" w:type="dxa"/>
          </w:tcPr>
          <w:p>
            <w:r>
              <w:t xml:space="preserve">South Africa</w:t>
            </w:r>
          </w:p>
        </w:tc>
        <w:tc>
          <w:tcPr>
            <w:tcW w:w="2400" w:type="dxa"/>
          </w:tcPr>
          <w:p>
            <w:r>
              <w:t xml:space="preserve">Review POPIA, electronic communications, Consumer Protection Act exposure, product liability, import, tax and dispute wording.</w:t>
            </w:r>
          </w:p>
        </w:tc>
      </w:tr>
      <w:tr>
        <w:tc>
          <w:tcPr>
            <w:tcW w:w="2400" w:type="dxa"/>
          </w:tcPr>
          <w:p>
            <w:r>
              <w:t xml:space="preserve">Germany</w:t>
            </w:r>
          </w:p>
        </w:tc>
        <w:tc>
          <w:tcPr>
            <w:tcW w:w="2400" w:type="dxa"/>
          </w:tcPr>
          <w:p>
            <w:r>
              <w:t xml:space="preserve">Use German-law drafting; review BGB/HGB, GDPR/BDSG, UWG marketing rules, warranty, retention of title and standard-term controls.</w:t>
            </w:r>
          </w:p>
        </w:tc>
      </w:tr>
      <w:tr>
        <w:tc>
          <w:tcPr>
            <w:tcW w:w="2400" w:type="dxa"/>
          </w:tcPr>
          <w:p>
            <w:r>
              <w:t xml:space="preserve">Austria</w:t>
            </w:r>
          </w:p>
        </w:tc>
        <w:tc>
          <w:tcPr>
            <w:tcW w:w="2400" w:type="dxa"/>
          </w:tcPr>
          <w:p>
            <w:r>
              <w:t xml:space="preserve">Use Austrian-law drafting; review ABGB/UGB, GDPR/DSG, UWG marketing rules, warranty, retention of title and standard-term controls.</w:t>
            </w:r>
          </w:p>
        </w:tc>
      </w:tr>
      <w:tr>
        <w:tc>
          <w:tcPr>
            <w:tcW w:w="2400" w:type="dxa"/>
          </w:tcPr>
          <w:p>
            <w:r>
              <w:t xml:space="preserve">Switzerland</w:t>
            </w:r>
          </w:p>
        </w:tc>
        <w:tc>
          <w:tcPr>
            <w:tcW w:w="2400" w:type="dxa"/>
          </w:tcPr>
          <w:p>
            <w:r>
              <w:t xml:space="preserve">Use Swiss-law drafting; review the Code of Obligations, revised FADP, competition rules, warranty and cross-border data transfers.</w:t>
            </w:r>
          </w:p>
        </w:tc>
      </w:tr>
    </w:tbl>
    <w:p>
      <w:pPr>
        <w:pStyle w:val="Heading2"/>
      </w:pPr>
      <w:r>
        <w:t xml:space="preserve">Local clauses before signature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Area</w:t>
            </w:r>
          </w:p>
        </w:tc>
        <w:tc>
          <w:tcPr>
            <w:tcW w:w="2400" w:type="dxa"/>
          </w:tcPr>
          <w:p>
            <w:r>
              <w:t xml:space="preserve">To review before use</w:t>
            </w:r>
          </w:p>
        </w:tc>
      </w:tr>
      <w:tr>
        <w:tc>
          <w:tcPr>
            <w:tcW w:w="2400" w:type="dxa"/>
          </w:tcPr>
          <w:p>
            <w:r>
              <w:t xml:space="preserve">Governing law</w:t>
            </w:r>
          </w:p>
        </w:tc>
        <w:tc>
          <w:tcPr>
            <w:tcW w:w="2400" w:type="dxa"/>
          </w:tcPr>
          <w:p>
            <w:r>
              <w:t xml:space="preserve">Country, venue, language and dispute resolution</w:t>
            </w:r>
          </w:p>
        </w:tc>
      </w:tr>
      <w:tr>
        <w:tc>
          <w:tcPr>
            <w:tcW w:w="2400" w:type="dxa"/>
          </w:tcPr>
          <w:p>
            <w:r>
              <w:t xml:space="preserve">Privacy</w:t>
            </w:r>
          </w:p>
        </w:tc>
        <w:tc>
          <w:tcPr>
            <w:tcW w:w="2400" w:type="dxa"/>
          </w:tcPr>
          <w:p>
            <w:r>
              <w:t xml:space="preserve">Roles, notices, consent and data transfers</w:t>
            </w:r>
          </w:p>
        </w:tc>
      </w:tr>
      <w:tr>
        <w:tc>
          <w:tcPr>
            <w:tcW w:w="2400" w:type="dxa"/>
          </w:tcPr>
          <w:p>
            <w:r>
              <w:t xml:space="preserve">Product &amp; sales</w:t>
            </w:r>
          </w:p>
        </w:tc>
        <w:tc>
          <w:tcPr>
            <w:tcW w:w="2400" w:type="dxa"/>
          </w:tcPr>
          <w:p>
            <w:r>
              <w:t xml:space="preserve">Warranty, liability, safety, tax and import</w:t>
            </w:r>
          </w:p>
        </w:tc>
      </w:tr>
      <w:tr>
        <w:tc>
          <w:tcPr>
            <w:tcW w:w="2400" w:type="dxa"/>
          </w:tcPr>
          <w:p>
            <w:r>
              <w:t xml:space="preserve">Marketing</w:t>
            </w:r>
          </w:p>
        </w:tc>
        <w:tc>
          <w:tcPr>
            <w:tcW w:w="2400" w:type="dxa"/>
          </w:tcPr>
          <w:p>
            <w:r>
              <w:t xml:space="preserve">Electronic communication, claims, testimonials and pricing displays</w:t>
            </w:r>
          </w:p>
        </w:tc>
      </w:tr>
    </w:tbl>
    <w:p>
      <w:pPr>
        <w:pStyle w:val="Heading2"/>
      </w:pPr>
      <w:r>
        <w:t xml:space="preserve">Document table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Price element</w:t>
            </w:r>
          </w:p>
        </w:tc>
        <w:tc>
          <w:tcPr>
            <w:tcW w:w="2400" w:type="dxa"/>
          </w:tcPr>
          <w:p>
            <w:r>
              <w:t xml:space="preserve">Description</w:t>
            </w:r>
          </w:p>
        </w:tc>
      </w:tr>
      <w:tr>
        <w:tc>
          <w:tcPr>
            <w:tcW w:w="2400" w:type="dxa"/>
          </w:tcPr>
          <w:p>
            <w:r>
              <w:t xml:space="preserve">Catalogue net price</w:t>
            </w:r>
          </w:p>
        </w:tc>
        <w:tc>
          <w:tcPr>
            <w:tcW w:w="2400" w:type="dxa"/>
          </w:tcPr>
          <w:p>
            <w:r>
              <w:t xml:space="preserve">Reference price before tax unless local law requires otherwise</w:t>
            </w:r>
          </w:p>
        </w:tc>
      </w:tr>
      <w:tr>
        <w:tc>
          <w:tcPr>
            <w:tcW w:w="2400" w:type="dxa"/>
          </w:tcPr>
          <w:p>
            <w:r>
              <w:t xml:space="preserve">Partner discount</w:t>
            </w:r>
          </w:p>
        </w:tc>
        <w:tc>
          <w:tcPr>
            <w:tcW w:w="2400" w:type="dxa"/>
          </w:tcPr>
          <w:p>
            <w:r>
              <w:t xml:space="preserve">Commercial discount agreed with the Partner</w:t>
            </w:r>
          </w:p>
        </w:tc>
      </w:tr>
      <w:tr>
        <w:tc>
          <w:tcPr>
            <w:tcW w:w="2400" w:type="dxa"/>
          </w:tcPr>
          <w:p>
            <w:r>
              <w:t xml:space="preserve">Recommended display</w:t>
            </w:r>
          </w:p>
        </w:tc>
        <w:tc>
          <w:tcPr>
            <w:tcW w:w="2400" w:type="dxa"/>
          </w:tcPr>
          <w:p>
            <w:r>
              <w:t xml:space="preserve">May be used only where lawful</w:t>
            </w:r>
          </w:p>
        </w:tc>
      </w:tr>
      <w:tr>
        <w:tc>
          <w:tcPr>
            <w:tcW w:w="2400" w:type="dxa"/>
          </w:tcPr>
          <w:p>
            <w:r>
              <w:t xml:space="preserve">Delivery / tax</w:t>
            </w:r>
          </w:p>
        </w:tc>
        <w:tc>
          <w:tcPr>
            <w:tcW w:w="2400" w:type="dxa"/>
          </w:tcPr>
          <w:p>
            <w:r>
              <w:t xml:space="preserve">Shown separately where required</w:t>
            </w:r>
          </w:p>
        </w:tc>
      </w:tr>
    </w:tbl>
    <w:p>
      <w:r>
        <w:t xml:space="preserve">Karolina Tarasenko, Partner Network Development Specialist, +48 531 448 893, heorhiibronnikov.commercial@gmail.com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rPr>
      <w:rFonts w:ascii="Arial" w:hAnsi="Arial"/>
      <w:sz w:val="22"/>
    </w:rPr>
  </w:style>
  <w:style w:type="paragraph" w:styleId="Heading1">
    <w:name w:val="heading 1"/>
    <w:basedOn w:val="Normal"/>
    <w:rPr>
      <w:b/>
      <w:color w:val="124A2E"/>
      <w:sz w:val="38"/>
    </w:rPr>
  </w:style>
  <w:style w:type="paragraph" w:styleId="Heading2">
    <w:name w:val="heading 2"/>
    <w:basedOn w:val="Normal"/>
    <w:rPr>
      <w:b/>
      <w:color w:val="06271B"/>
      <w:sz w:val="28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