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Appendix: Starter Stock</w:t>
      </w:r>
    </w:p>
    <w:p>
      <w:r>
        <w:t xml:space="preserve">Starter stock proposal for a pilot or launch phase, without forcing full warehouse investment.</w:t>
      </w:r>
    </w:p>
    <w:p>
      <w:r>
        <w:t xml:space="preserve">Working legal/commercial draft. This translated version is prepared for reading, download and local counsel review before use in the selected country.</w:t>
      </w:r>
    </w:p>
    <w:p>
      <w:pPr>
        <w:pStyle w:val="Heading2"/>
      </w:pPr>
      <w:r>
        <w:t xml:space="preserve">1. Principle</w:t>
      </w:r>
    </w:p>
    <w:p>
      <w:r>
        <w:t xml:space="preserve">Starter stock is introduced only when justified by the Partner's channel, customer demand and agreed pilot scope. A full warehouse purchase is not a condition of joining the programme.</w:t>
      </w:r>
    </w:p>
    <w:p>
      <w:pPr>
        <w:pStyle w:val="Heading2"/>
      </w:pPr>
      <w:r>
        <w:t xml:space="preserve">2. Product Selection</w:t>
      </w:r>
    </w:p>
    <w:p>
      <w:r>
        <w:t xml:space="preserve">Products are selected according to customer needs discovered during material purchases and supported by the e-catalogue.</w:t>
      </w:r>
    </w:p>
    <w:p>
      <w:pPr>
        <w:pStyle w:val="Heading2"/>
      </w:pPr>
      <w:r>
        <w:t xml:space="preserve">3. Review</w:t>
      </w:r>
    </w:p>
    <w:p>
      <w:r>
        <w:t xml:space="preserve">Starter stock is reviewed after the first confirmed sales period and may be expanded, reduced or replaced.</w:t>
      </w:r>
    </w:p>
    <w:p>
      <w:pPr>
        <w:pStyle w:val="Heading2"/>
      </w:pPr>
      <w:r>
        <w:t xml:space="preserve">Country localisation matrix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Market</w:t>
            </w:r>
          </w:p>
        </w:tc>
        <w:tc>
          <w:tcPr>
            <w:tcW w:w="2400" w:type="dxa"/>
          </w:tcPr>
          <w:p>
            <w:r>
              <w:t xml:space="preserve">Adaptation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Use UK governing law and jurisdiction where applicable; review UK GDPR, PECR, product liability and B2B sale terms.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Use state-specific law and venue; review business opportunity/franchise triggers, earnings claims, warranty, sales tax and privacy rules.</w:t>
            </w:r>
          </w:p>
        </w:tc>
      </w:tr>
      <w:tr>
        <w:tc>
          <w:tcPr>
            <w:tcW w:w="2400" w:type="dxa"/>
          </w:tcPr>
          <w:p>
            <w:r>
              <w:t xml:space="preserve">Canada</w:t>
            </w:r>
          </w:p>
        </w:tc>
        <w:tc>
          <w:tcPr>
            <w:tcW w:w="2400" w:type="dxa"/>
          </w:tcPr>
          <w:p>
            <w:r>
              <w:t xml:space="preserve">Use province-specific law; review CASL, privacy, bilingual requirements where applicable, warranty, tax and product safety.</w:t>
            </w:r>
          </w:p>
        </w:tc>
      </w:tr>
      <w:tr>
        <w:tc>
          <w:tcPr>
            <w:tcW w:w="2400" w:type="dxa"/>
          </w:tcPr>
          <w:p>
            <w:r>
              <w:t xml:space="preserve">Australia</w:t>
            </w:r>
          </w:p>
        </w:tc>
        <w:tc>
          <w:tcPr>
            <w:tcW w:w="2400" w:type="dxa"/>
          </w:tcPr>
          <w:p>
            <w:r>
              <w:t xml:space="preserve">Review Australian Consumer Law, unfair contract terms, privacy, product safety, warranty, import and tax clauses.</w:t>
            </w:r>
          </w:p>
        </w:tc>
      </w:tr>
      <w:tr>
        <w:tc>
          <w:tcPr>
            <w:tcW w:w="2400" w:type="dxa"/>
          </w:tcPr>
          <w:p>
            <w:r>
              <w:t xml:space="preserve">South Africa</w:t>
            </w:r>
          </w:p>
        </w:tc>
        <w:tc>
          <w:tcPr>
            <w:tcW w:w="2400" w:type="dxa"/>
          </w:tcPr>
          <w:p>
            <w:r>
              <w:t xml:space="preserve">Review POPIA, electronic communications, Consumer Protection Act exposure, product liability, import, tax and dispute wording.</w:t>
            </w:r>
          </w:p>
        </w:tc>
      </w:tr>
      <w:tr>
        <w:tc>
          <w:tcPr>
            <w:tcW w:w="2400" w:type="dxa"/>
          </w:tcPr>
          <w:p>
            <w:r>
              <w:t xml:space="preserve">Germany</w:t>
            </w:r>
          </w:p>
        </w:tc>
        <w:tc>
          <w:tcPr>
            <w:tcW w:w="2400" w:type="dxa"/>
          </w:tcPr>
          <w:p>
            <w:r>
              <w:t xml:space="preserve">Use German-law drafting; review BGB/HGB, GDPR/BDSG,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Austria</w:t>
            </w:r>
          </w:p>
        </w:tc>
        <w:tc>
          <w:tcPr>
            <w:tcW w:w="2400" w:type="dxa"/>
          </w:tcPr>
          <w:p>
            <w:r>
              <w:t xml:space="preserve">Use Austrian-law drafting; review ABGB/UGB, GDPR/DSG,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Switzerland</w:t>
            </w:r>
          </w:p>
        </w:tc>
        <w:tc>
          <w:tcPr>
            <w:tcW w:w="2400" w:type="dxa"/>
          </w:tcPr>
          <w:p>
            <w:r>
              <w:t xml:space="preserve">Use Swiss-law drafting; review the Code of Obligations, revised FADP, competition rules, warranty and cross-border data transfers.</w:t>
            </w:r>
          </w:p>
        </w:tc>
      </w:tr>
    </w:tbl>
    <w:p>
      <w:pPr>
        <w:pStyle w:val="Heading2"/>
      </w:pPr>
      <w:r>
        <w:t xml:space="preserve">Local clauses before signature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To review before use</w:t>
            </w:r>
          </w:p>
        </w:tc>
      </w:tr>
      <w:tr>
        <w:tc>
          <w:tcPr>
            <w:tcW w:w="2400" w:type="dxa"/>
          </w:tcPr>
          <w:p>
            <w:r>
              <w:t xml:space="preserve">Governing law</w:t>
            </w:r>
          </w:p>
        </w:tc>
        <w:tc>
          <w:tcPr>
            <w:tcW w:w="2400" w:type="dxa"/>
          </w:tcPr>
          <w:p>
            <w:r>
              <w:t xml:space="preserve">Country, venue, language and dispute resolution</w:t>
            </w:r>
          </w:p>
        </w:tc>
      </w:tr>
      <w:tr>
        <w:tc>
          <w:tcPr>
            <w:tcW w:w="2400" w:type="dxa"/>
          </w:tcPr>
          <w:p>
            <w:r>
              <w:t xml:space="preserve">Privacy</w:t>
            </w:r>
          </w:p>
        </w:tc>
        <w:tc>
          <w:tcPr>
            <w:tcW w:w="2400" w:type="dxa"/>
          </w:tcPr>
          <w:p>
            <w:r>
              <w:t xml:space="preserve">Roles, notices, consent and data transfers</w:t>
            </w:r>
          </w:p>
        </w:tc>
      </w:tr>
      <w:tr>
        <w:tc>
          <w:tcPr>
            <w:tcW w:w="2400" w:type="dxa"/>
          </w:tcPr>
          <w:p>
            <w:r>
              <w:t xml:space="preserve">Product &amp; sales</w:t>
            </w:r>
          </w:p>
        </w:tc>
        <w:tc>
          <w:tcPr>
            <w:tcW w:w="2400" w:type="dxa"/>
          </w:tcPr>
          <w:p>
            <w:r>
              <w:t xml:space="preserve">Warranty, liability, safety, tax and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Electronic communication, claims, testimonials and pricing displays</w:t>
            </w:r>
          </w:p>
        </w:tc>
      </w:tr>
    </w:tbl>
    <w:p>
      <w:pPr>
        <w:pStyle w:val="Heading2"/>
      </w:pPr>
      <w:r>
        <w:t xml:space="preserve">Document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Product group</w:t>
            </w:r>
          </w:p>
        </w:tc>
        <w:tc>
          <w:tcPr>
            <w:tcW w:w="2400" w:type="dxa"/>
          </w:tcPr>
          <w:p>
            <w:r>
              <w:t xml:space="preserve">Starter logic</w:t>
            </w:r>
          </w:p>
        </w:tc>
      </w:tr>
      <w:tr>
        <w:tc>
          <w:tcPr>
            <w:tcW w:w="2400" w:type="dxa"/>
          </w:tcPr>
          <w:p>
            <w:r>
              <w:t xml:space="preserve">Demonstration tools</w:t>
            </w:r>
          </w:p>
        </w:tc>
        <w:tc>
          <w:tcPr>
            <w:tcW w:w="2400" w:type="dxa"/>
          </w:tcPr>
          <w:p>
            <w:r>
              <w:t xml:space="preserve">Used to explain value and build trust</w:t>
            </w:r>
          </w:p>
        </w:tc>
      </w:tr>
      <w:tr>
        <w:tc>
          <w:tcPr>
            <w:tcW w:w="2400" w:type="dxa"/>
          </w:tcPr>
          <w:p>
            <w:r>
              <w:t xml:space="preserve">High-frequency tools</w:t>
            </w:r>
          </w:p>
        </w:tc>
        <w:tc>
          <w:tcPr>
            <w:tcW w:w="2400" w:type="dxa"/>
          </w:tcPr>
          <w:p>
            <w:r>
              <w:t xml:space="preserve">Selected when customer demand is visible</w:t>
            </w:r>
          </w:p>
        </w:tc>
      </w:tr>
      <w:tr>
        <w:tc>
          <w:tcPr>
            <w:tcW w:w="2400" w:type="dxa"/>
          </w:tcPr>
          <w:p>
            <w:r>
              <w:t xml:space="preserve">Test products</w:t>
            </w:r>
          </w:p>
        </w:tc>
        <w:tc>
          <w:tcPr>
            <w:tcW w:w="2400" w:type="dxa"/>
          </w:tcPr>
          <w:p>
            <w:r>
              <w:t xml:space="preserve">Used for controlled market validation</w:t>
            </w:r>
          </w:p>
        </w:tc>
      </w:tr>
      <w:tr>
        <w:tc>
          <w:tcPr>
            <w:tcW w:w="2400" w:type="dxa"/>
          </w:tcPr>
          <w:p>
            <w:r>
              <w:t xml:space="preserve">Replacement / service elements</w:t>
            </w:r>
          </w:p>
        </w:tc>
        <w:tc>
          <w:tcPr>
            <w:tcW w:w="2400" w:type="dxa"/>
          </w:tcPr>
          <w:p>
            <w:r>
              <w:t xml:space="preserve">Held only if commercially justified</w:t>
            </w:r>
          </w:p>
        </w:tc>
      </w:tr>
    </w:tbl>
    <w:p>
      <w:r>
        <w:t xml:space="preserve">Karolina Tarasenko, Partner Network Development Specialist,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