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Appendix: FIXON Brand Policy</w:t>
      </w:r>
    </w:p>
    <w:p>
      <w:r>
        <w:t xml:space="preserve">Brand-policy appendix controlling FIXON name, visuals, claims, sales language and safe communication.</w:t>
      </w:r>
    </w:p>
    <w:p>
      <w:r>
        <w:t xml:space="preserve">Working legal/commercial draft. This translated version is prepared for reading, download and local counsel review before use in the selected country.</w:t>
      </w:r>
    </w:p>
    <w:p>
      <w:pPr>
        <w:pStyle w:val="Heading2"/>
      </w:pPr>
      <w:r>
        <w:t xml:space="preserve">1. Brand Use</w:t>
      </w:r>
    </w:p>
    <w:p>
      <w:r>
        <w:t xml:space="preserve">The Partner may use the FIXON name, logo and product materials only in the approved commercial context.</w:t>
      </w:r>
    </w:p>
    <w:p>
      <w:pPr>
        <w:pStyle w:val="Heading2"/>
      </w:pPr>
      <w:r>
        <w:t xml:space="preserve">2. Claims</w:t>
      </w:r>
    </w:p>
    <w:p>
      <w:r>
        <w:t xml:space="preserve">Communication should focus on practical benefits: easier handling, faster work, better repeatability and reduced fatigue. Avoid guaranteed earnings, medical claims or unsupported performance promises.</w:t>
      </w:r>
    </w:p>
    <w:p>
      <w:pPr>
        <w:pStyle w:val="Heading2"/>
      </w:pPr>
      <w:r>
        <w:t xml:space="preserve">3. Local Marketing Law</w:t>
      </w:r>
    </w:p>
    <w:p>
      <w:r>
        <w:t xml:space="preserve">Advertising, testimonials, influencer use, electronic marketing and comparative claims must be reviewed for the selected market.</w:t>
      </w:r>
    </w:p>
    <w:p>
      <w:pPr>
        <w:pStyle w:val="Heading2"/>
      </w:pPr>
      <w:r>
        <w:t xml:space="preserve">Country localisation matrix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Market</w:t>
            </w:r>
          </w:p>
        </w:tc>
        <w:tc>
          <w:tcPr>
            <w:tcW w:w="2400" w:type="dxa"/>
          </w:tcPr>
          <w:p>
            <w:r>
              <w:t xml:space="preserve">Adaptation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Use UK governing law and jurisdiction where applicable; review UK GDPR, PECR, product liability and B2B sale terms.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Use state-specific law and venue; review business opportunity/franchise triggers, earnings claims, warranty, sales tax and privacy rules.</w:t>
            </w:r>
          </w:p>
        </w:tc>
      </w:tr>
      <w:tr>
        <w:tc>
          <w:tcPr>
            <w:tcW w:w="2400" w:type="dxa"/>
          </w:tcPr>
          <w:p>
            <w:r>
              <w:t xml:space="preserve">Canada</w:t>
            </w:r>
          </w:p>
        </w:tc>
        <w:tc>
          <w:tcPr>
            <w:tcW w:w="2400" w:type="dxa"/>
          </w:tcPr>
          <w:p>
            <w:r>
              <w:t xml:space="preserve">Use province-specific law; review CASL, privacy, bilingual requirements where applicable, warranty, tax and product safety.</w:t>
            </w:r>
          </w:p>
        </w:tc>
      </w:tr>
      <w:tr>
        <w:tc>
          <w:tcPr>
            <w:tcW w:w="2400" w:type="dxa"/>
          </w:tcPr>
          <w:p>
            <w:r>
              <w:t xml:space="preserve">Australia</w:t>
            </w:r>
          </w:p>
        </w:tc>
        <w:tc>
          <w:tcPr>
            <w:tcW w:w="2400" w:type="dxa"/>
          </w:tcPr>
          <w:p>
            <w:r>
              <w:t xml:space="preserve">Review Australian Consumer Law, unfair contract terms, privacy, product safety, warranty, import and tax clauses.</w:t>
            </w:r>
          </w:p>
        </w:tc>
      </w:tr>
      <w:tr>
        <w:tc>
          <w:tcPr>
            <w:tcW w:w="2400" w:type="dxa"/>
          </w:tcPr>
          <w:p>
            <w:r>
              <w:t xml:space="preserve">South Africa</w:t>
            </w:r>
          </w:p>
        </w:tc>
        <w:tc>
          <w:tcPr>
            <w:tcW w:w="2400" w:type="dxa"/>
          </w:tcPr>
          <w:p>
            <w:r>
              <w:t xml:space="preserve">Review POPIA, electronic communications, Consumer Protection Act exposure, product liability, import, tax and dispute wording.</w:t>
            </w:r>
          </w:p>
        </w:tc>
      </w:tr>
      <w:tr>
        <w:tc>
          <w:tcPr>
            <w:tcW w:w="2400" w:type="dxa"/>
          </w:tcPr>
          <w:p>
            <w:r>
              <w:t xml:space="preserve">Germany</w:t>
            </w:r>
          </w:p>
        </w:tc>
        <w:tc>
          <w:tcPr>
            <w:tcW w:w="2400" w:type="dxa"/>
          </w:tcPr>
          <w:p>
            <w:r>
              <w:t xml:space="preserve">Use German-law drafting; review BGB/HGB, GDPR/BDSG,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Austria</w:t>
            </w:r>
          </w:p>
        </w:tc>
        <w:tc>
          <w:tcPr>
            <w:tcW w:w="2400" w:type="dxa"/>
          </w:tcPr>
          <w:p>
            <w:r>
              <w:t xml:space="preserve">Use Austrian-law drafting; review ABGB/UGB, GDPR/DSG,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Switzerland</w:t>
            </w:r>
          </w:p>
        </w:tc>
        <w:tc>
          <w:tcPr>
            <w:tcW w:w="2400" w:type="dxa"/>
          </w:tcPr>
          <w:p>
            <w:r>
              <w:t xml:space="preserve">Use Swiss-law drafting; review the Code of Obligations, revised FADP, competition rules, warranty and cross-border data transfers.</w:t>
            </w:r>
          </w:p>
        </w:tc>
      </w:tr>
    </w:tbl>
    <w:p>
      <w:pPr>
        <w:pStyle w:val="Heading2"/>
      </w:pPr>
      <w:r>
        <w:t xml:space="preserve">Local clauses before signature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To review before use</w:t>
            </w:r>
          </w:p>
        </w:tc>
      </w:tr>
      <w:tr>
        <w:tc>
          <w:tcPr>
            <w:tcW w:w="2400" w:type="dxa"/>
          </w:tcPr>
          <w:p>
            <w:r>
              <w:t xml:space="preserve">Governing law</w:t>
            </w:r>
          </w:p>
        </w:tc>
        <w:tc>
          <w:tcPr>
            <w:tcW w:w="2400" w:type="dxa"/>
          </w:tcPr>
          <w:p>
            <w:r>
              <w:t xml:space="preserve">Country, venue, language and dispute resolution</w:t>
            </w:r>
          </w:p>
        </w:tc>
      </w:tr>
      <w:tr>
        <w:tc>
          <w:tcPr>
            <w:tcW w:w="2400" w:type="dxa"/>
          </w:tcPr>
          <w:p>
            <w:r>
              <w:t xml:space="preserve">Privacy</w:t>
            </w:r>
          </w:p>
        </w:tc>
        <w:tc>
          <w:tcPr>
            <w:tcW w:w="2400" w:type="dxa"/>
          </w:tcPr>
          <w:p>
            <w:r>
              <w:t xml:space="preserve">Roles, notices, consent and data transfers</w:t>
            </w:r>
          </w:p>
        </w:tc>
      </w:tr>
      <w:tr>
        <w:tc>
          <w:tcPr>
            <w:tcW w:w="2400" w:type="dxa"/>
          </w:tcPr>
          <w:p>
            <w:r>
              <w:t xml:space="preserve">Product &amp; sales</w:t>
            </w:r>
          </w:p>
        </w:tc>
        <w:tc>
          <w:tcPr>
            <w:tcW w:w="2400" w:type="dxa"/>
          </w:tcPr>
          <w:p>
            <w:r>
              <w:t xml:space="preserve">Warranty, liability, safety, tax and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Electronic communication, claims, testimonials and pricing displays</w:t>
            </w:r>
          </w:p>
        </w:tc>
      </w:tr>
    </w:tbl>
    <w:p>
      <w:pPr>
        <w:pStyle w:val="Heading2"/>
      </w:pPr>
      <w:r>
        <w:t xml:space="preserve">Document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Allowed</w:t>
            </w:r>
          </w:p>
        </w:tc>
        <w:tc>
          <w:tcPr>
            <w:tcW w:w="2400" w:type="dxa"/>
          </w:tcPr>
          <w:p>
            <w:r>
              <w:t xml:space="preserve">Avoid</w:t>
            </w:r>
          </w:p>
        </w:tc>
      </w:tr>
      <w:tr>
        <w:tc>
          <w:tcPr>
            <w:tcW w:w="2400" w:type="dxa"/>
          </w:tcPr>
          <w:p>
            <w:r>
              <w:t xml:space="preserve">Practical use-case language</w:t>
            </w:r>
          </w:p>
        </w:tc>
        <w:tc>
          <w:tcPr>
            <w:tcW w:w="2400" w:type="dxa"/>
          </w:tcPr>
          <w:p>
            <w:r>
              <w:t xml:space="preserve">Guaranteed profit or sales promises</w:t>
            </w:r>
          </w:p>
        </w:tc>
      </w:tr>
      <w:tr>
        <w:tc>
          <w:tcPr>
            <w:tcW w:w="2400" w:type="dxa"/>
          </w:tcPr>
          <w:p>
            <w:r>
              <w:t xml:space="preserve">Approved product images</w:t>
            </w:r>
          </w:p>
        </w:tc>
        <w:tc>
          <w:tcPr>
            <w:tcW w:w="2400" w:type="dxa"/>
          </w:tcPr>
          <w:p>
            <w:r>
              <w:t xml:space="preserve">Unapproved AI or misleading images</w:t>
            </w:r>
          </w:p>
        </w:tc>
      </w:tr>
      <w:tr>
        <w:tc>
          <w:tcPr>
            <w:tcW w:w="2400" w:type="dxa"/>
          </w:tcPr>
          <w:p>
            <w:r>
              <w:t xml:space="preserve">QR to e-catalogue</w:t>
            </w:r>
          </w:p>
        </w:tc>
        <w:tc>
          <w:tcPr>
            <w:tcW w:w="2400" w:type="dxa"/>
          </w:tcPr>
          <w:p>
            <w:r>
              <w:t xml:space="preserve">Outdated files or wrong prices</w:t>
            </w:r>
          </w:p>
        </w:tc>
      </w:tr>
      <w:tr>
        <w:tc>
          <w:tcPr>
            <w:tcW w:w="2400" w:type="dxa"/>
          </w:tcPr>
          <w:p>
            <w:r>
              <w:t xml:space="preserve">Clear partner status</w:t>
            </w:r>
          </w:p>
        </w:tc>
        <w:tc>
          <w:tcPr>
            <w:tcW w:w="2400" w:type="dxa"/>
          </w:tcPr>
          <w:p>
            <w:r>
              <w:t xml:space="preserve">Implying agency or employment</w:t>
            </w:r>
          </w:p>
        </w:tc>
      </w:tr>
    </w:tbl>
    <w:p>
      <w:r>
        <w:t xml:space="preserve">Karolina Tarasenko, Partner Network Development Specialist,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