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Reporting Procedure</w:t>
      </w:r>
    </w:p>
    <w:p>
      <w:r>
        <w:t xml:space="preserve">Monthly reporting procedure for sales, stock, settlement, customer feedback and product decisions.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Reporting Rhythm</w:t>
      </w:r>
    </w:p>
    <w:p>
      <w:r>
        <w:t xml:space="preserve">The standard reporting rhythm is monthly unless the parties agree a shorter pilot rhythm.</w:t>
      </w:r>
    </w:p>
    <w:p>
      <w:pPr>
        <w:pStyle w:val="Heading2"/>
      </w:pPr>
      <w:r>
        <w:t xml:space="preserve">2. Report Content</w:t>
      </w:r>
    </w:p>
    <w:p>
      <w:r>
        <w:t xml:space="preserve">Reports include sales, stock, pending orders, returns, customer questions, demonstration activity and urgent events.</w:t>
      </w:r>
    </w:p>
    <w:p>
      <w:pPr>
        <w:pStyle w:val="Heading2"/>
      </w:pPr>
      <w:r>
        <w:t xml:space="preserve">3. Settlement Link</w:t>
      </w:r>
    </w:p>
    <w:p>
      <w:r>
        <w:t xml:space="preserve">Settlement and stock decisions are based on confirmed reports and agreed supporting documents.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Report field</w:t>
            </w:r>
          </w:p>
        </w:tc>
        <w:tc>
          <w:tcPr>
            <w:tcW w:w="2400" w:type="dxa"/>
          </w:tcPr>
          <w:p>
            <w:r>
              <w:t xml:space="preserve">Purpose</w:t>
            </w:r>
          </w:p>
        </w:tc>
      </w:tr>
      <w:tr>
        <w:tc>
          <w:tcPr>
            <w:tcW w:w="2400" w:type="dxa"/>
          </w:tcPr>
          <w:p>
            <w:r>
              <w:t xml:space="preserve">Sales by product</w:t>
            </w:r>
          </w:p>
        </w:tc>
        <w:tc>
          <w:tcPr>
            <w:tcW w:w="2400" w:type="dxa"/>
          </w:tcPr>
          <w:p>
            <w:r>
              <w:t xml:space="preserve">Settlement and demand analysis</w:t>
            </w:r>
          </w:p>
        </w:tc>
      </w:tr>
      <w:tr>
        <w:tc>
          <w:tcPr>
            <w:tcW w:w="2400" w:type="dxa"/>
          </w:tcPr>
          <w:p>
            <w:r>
              <w:t xml:space="preserve">Stock status</w:t>
            </w:r>
          </w:p>
        </w:tc>
        <w:tc>
          <w:tcPr>
            <w:tcW w:w="2400" w:type="dxa"/>
          </w:tcPr>
          <w:p>
            <w:r>
              <w:t xml:space="preserve">Replenishment decisions</w:t>
            </w:r>
          </w:p>
        </w:tc>
      </w:tr>
      <w:tr>
        <w:tc>
          <w:tcPr>
            <w:tcW w:w="2400" w:type="dxa"/>
          </w:tcPr>
          <w:p>
            <w:r>
              <w:t xml:space="preserve">Customer feedback</w:t>
            </w:r>
          </w:p>
        </w:tc>
        <w:tc>
          <w:tcPr>
            <w:tcW w:w="2400" w:type="dxa"/>
          </w:tcPr>
          <w:p>
            <w:r>
              <w:t xml:space="preserve">Product and sales improvement</w:t>
            </w:r>
          </w:p>
        </w:tc>
      </w:tr>
      <w:tr>
        <w:tc>
          <w:tcPr>
            <w:tcW w:w="2400" w:type="dxa"/>
          </w:tcPr>
          <w:p>
            <w:r>
              <w:t xml:space="preserve">Exceptions</w:t>
            </w:r>
          </w:p>
        </w:tc>
        <w:tc>
          <w:tcPr>
            <w:tcW w:w="2400" w:type="dxa"/>
          </w:tcPr>
          <w:p>
            <w:r>
              <w:t xml:space="preserve">Urgent response and risk control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