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Appendix: Handover Protocol</w:t>
      </w:r>
    </w:p>
    <w:p>
      <w:r>
        <w:t xml:space="preserve">Handover protocol for products, displays, demonstration tools or marketing materials.</w:t>
      </w:r>
    </w:p>
    <w:p>
      <w:r>
        <w:t xml:space="preserve">Working legal/commercial draft. This translated version is prepared for reading, download and local counsel review before use in the selected country.</w:t>
      </w:r>
    </w:p>
    <w:p>
      <w:pPr>
        <w:pStyle w:val="Heading2"/>
      </w:pPr>
      <w:r>
        <w:t xml:space="preserve">1. Handover Scope</w:t>
      </w:r>
    </w:p>
    <w:p>
      <w:r>
        <w:t xml:space="preserve">The protocol confirms what was delivered, to whom, when and in what condition.</w:t>
      </w:r>
    </w:p>
    <w:p>
      <w:pPr>
        <w:pStyle w:val="Heading2"/>
      </w:pPr>
      <w:r>
        <w:t xml:space="preserve">2. Responsibility</w:t>
      </w:r>
    </w:p>
    <w:p>
      <w:r>
        <w:t xml:space="preserve">The receiving party confirms responsibility for storage, demonstration use and return if applicable.</w:t>
      </w:r>
    </w:p>
    <w:p>
      <w:pPr>
        <w:pStyle w:val="Heading2"/>
      </w:pPr>
      <w:r>
        <w:t xml:space="preserve">3. Evidence</w:t>
      </w:r>
    </w:p>
    <w:p>
      <w:r>
        <w:t xml:space="preserve">Photos, serial numbers or package lists may be attached when useful.</w:t>
      </w:r>
    </w:p>
    <w:p>
      <w:pPr>
        <w:pStyle w:val="Heading2"/>
      </w:pPr>
      <w:r>
        <w:t xml:space="preserve">Country localisation matrix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Market</w:t>
            </w:r>
          </w:p>
        </w:tc>
        <w:tc>
          <w:tcPr>
            <w:tcW w:w="2400" w:type="dxa"/>
          </w:tcPr>
          <w:p>
            <w:r>
              <w:t xml:space="preserve">Adaptation</w:t>
            </w:r>
          </w:p>
        </w:tc>
      </w:tr>
      <w:tr>
        <w:tc>
          <w:tcPr>
            <w:tcW w:w="2400" w:type="dxa"/>
          </w:tcPr>
          <w:p>
            <w:r>
              <w:t xml:space="preserve">UK</w:t>
            </w:r>
          </w:p>
        </w:tc>
        <w:tc>
          <w:tcPr>
            <w:tcW w:w="2400" w:type="dxa"/>
          </w:tcPr>
          <w:p>
            <w:r>
              <w:t xml:space="preserve">Use UK governing law and jurisdiction where applicable; review UK GDPR, PECR, product liability and B2B sale terms.</w:t>
            </w:r>
          </w:p>
        </w:tc>
      </w:tr>
      <w:tr>
        <w:tc>
          <w:tcPr>
            <w:tcW w:w="2400" w:type="dxa"/>
          </w:tcPr>
          <w:p>
            <w:r>
              <w:t xml:space="preserve">USA</w:t>
            </w:r>
          </w:p>
        </w:tc>
        <w:tc>
          <w:tcPr>
            <w:tcW w:w="2400" w:type="dxa"/>
          </w:tcPr>
          <w:p>
            <w:r>
              <w:t xml:space="preserve">Use state-specific law and venue; review business opportunity/franchise triggers, earnings claims, warranty, sales tax and privacy rules.</w:t>
            </w:r>
          </w:p>
        </w:tc>
      </w:tr>
      <w:tr>
        <w:tc>
          <w:tcPr>
            <w:tcW w:w="2400" w:type="dxa"/>
          </w:tcPr>
          <w:p>
            <w:r>
              <w:t xml:space="preserve">Canada</w:t>
            </w:r>
          </w:p>
        </w:tc>
        <w:tc>
          <w:tcPr>
            <w:tcW w:w="2400" w:type="dxa"/>
          </w:tcPr>
          <w:p>
            <w:r>
              <w:t xml:space="preserve">Use province-specific law; review CASL, privacy, bilingual requirements where applicable, warranty, tax and product safety.</w:t>
            </w:r>
          </w:p>
        </w:tc>
      </w:tr>
      <w:tr>
        <w:tc>
          <w:tcPr>
            <w:tcW w:w="2400" w:type="dxa"/>
          </w:tcPr>
          <w:p>
            <w:r>
              <w:t xml:space="preserve">Australia</w:t>
            </w:r>
          </w:p>
        </w:tc>
        <w:tc>
          <w:tcPr>
            <w:tcW w:w="2400" w:type="dxa"/>
          </w:tcPr>
          <w:p>
            <w:r>
              <w:t xml:space="preserve">Review Australian Consumer Law, unfair contract terms, privacy, product safety, warranty, import and tax clauses.</w:t>
            </w:r>
          </w:p>
        </w:tc>
      </w:tr>
      <w:tr>
        <w:tc>
          <w:tcPr>
            <w:tcW w:w="2400" w:type="dxa"/>
          </w:tcPr>
          <w:p>
            <w:r>
              <w:t xml:space="preserve">South Africa</w:t>
            </w:r>
          </w:p>
        </w:tc>
        <w:tc>
          <w:tcPr>
            <w:tcW w:w="2400" w:type="dxa"/>
          </w:tcPr>
          <w:p>
            <w:r>
              <w:t xml:space="preserve">Review POPIA, electronic communications, Consumer Protection Act exposure, product liability, import, tax and dispute wording.</w:t>
            </w:r>
          </w:p>
        </w:tc>
      </w:tr>
      <w:tr>
        <w:tc>
          <w:tcPr>
            <w:tcW w:w="2400" w:type="dxa"/>
          </w:tcPr>
          <w:p>
            <w:r>
              <w:t xml:space="preserve">Germany</w:t>
            </w:r>
          </w:p>
        </w:tc>
        <w:tc>
          <w:tcPr>
            <w:tcW w:w="2400" w:type="dxa"/>
          </w:tcPr>
          <w:p>
            <w:r>
              <w:t xml:space="preserve">Use German-law drafting; review BGB/HGB, GDPR/BDSG,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Austria</w:t>
            </w:r>
          </w:p>
        </w:tc>
        <w:tc>
          <w:tcPr>
            <w:tcW w:w="2400" w:type="dxa"/>
          </w:tcPr>
          <w:p>
            <w:r>
              <w:t xml:space="preserve">Use Austrian-law drafting; review ABGB/UGB, GDPR/DSG, UWG marketing rules, warranty, retention of title and standard-term controls.</w:t>
            </w:r>
          </w:p>
        </w:tc>
      </w:tr>
      <w:tr>
        <w:tc>
          <w:tcPr>
            <w:tcW w:w="2400" w:type="dxa"/>
          </w:tcPr>
          <w:p>
            <w:r>
              <w:t xml:space="preserve">Switzerland</w:t>
            </w:r>
          </w:p>
        </w:tc>
        <w:tc>
          <w:tcPr>
            <w:tcW w:w="2400" w:type="dxa"/>
          </w:tcPr>
          <w:p>
            <w:r>
              <w:t xml:space="preserve">Use Swiss-law drafting; review the Code of Obligations, revised FADP, competition rules, warranty and cross-border data transfers.</w:t>
            </w:r>
          </w:p>
        </w:tc>
      </w:tr>
    </w:tbl>
    <w:p>
      <w:pPr>
        <w:pStyle w:val="Heading2"/>
      </w:pPr>
      <w:r>
        <w:t xml:space="preserve">Local clauses before signature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Area</w:t>
            </w:r>
          </w:p>
        </w:tc>
        <w:tc>
          <w:tcPr>
            <w:tcW w:w="2400" w:type="dxa"/>
          </w:tcPr>
          <w:p>
            <w:r>
              <w:t xml:space="preserve">To review before use</w:t>
            </w:r>
          </w:p>
        </w:tc>
      </w:tr>
      <w:tr>
        <w:tc>
          <w:tcPr>
            <w:tcW w:w="2400" w:type="dxa"/>
          </w:tcPr>
          <w:p>
            <w:r>
              <w:t xml:space="preserve">Governing law</w:t>
            </w:r>
          </w:p>
        </w:tc>
        <w:tc>
          <w:tcPr>
            <w:tcW w:w="2400" w:type="dxa"/>
          </w:tcPr>
          <w:p>
            <w:r>
              <w:t xml:space="preserve">Country, venue, language and dispute resolution</w:t>
            </w:r>
          </w:p>
        </w:tc>
      </w:tr>
      <w:tr>
        <w:tc>
          <w:tcPr>
            <w:tcW w:w="2400" w:type="dxa"/>
          </w:tcPr>
          <w:p>
            <w:r>
              <w:t xml:space="preserve">Privacy</w:t>
            </w:r>
          </w:p>
        </w:tc>
        <w:tc>
          <w:tcPr>
            <w:tcW w:w="2400" w:type="dxa"/>
          </w:tcPr>
          <w:p>
            <w:r>
              <w:t xml:space="preserve">Roles, notices, consent and data transfers</w:t>
            </w:r>
          </w:p>
        </w:tc>
      </w:tr>
      <w:tr>
        <w:tc>
          <w:tcPr>
            <w:tcW w:w="2400" w:type="dxa"/>
          </w:tcPr>
          <w:p>
            <w:r>
              <w:t xml:space="preserve">Product &amp; sales</w:t>
            </w:r>
          </w:p>
        </w:tc>
        <w:tc>
          <w:tcPr>
            <w:tcW w:w="2400" w:type="dxa"/>
          </w:tcPr>
          <w:p>
            <w:r>
              <w:t xml:space="preserve">Warranty, liability, safety, tax and import</w:t>
            </w:r>
          </w:p>
        </w:tc>
      </w:tr>
      <w:tr>
        <w:tc>
          <w:tcPr>
            <w:tcW w:w="2400" w:type="dxa"/>
          </w:tcPr>
          <w:p>
            <w:r>
              <w:t xml:space="preserve">Marketing</w:t>
            </w:r>
          </w:p>
        </w:tc>
        <w:tc>
          <w:tcPr>
            <w:tcW w:w="2400" w:type="dxa"/>
          </w:tcPr>
          <w:p>
            <w:r>
              <w:t xml:space="preserve">Electronic communication, claims, testimonials and pricing displays</w:t>
            </w:r>
          </w:p>
        </w:tc>
      </w:tr>
    </w:tbl>
    <w:p>
      <w:pPr>
        <w:pStyle w:val="Heading2"/>
      </w:pPr>
      <w:r>
        <w:t xml:space="preserve">Document table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 xml:space="preserve">Item</w:t>
            </w:r>
          </w:p>
        </w:tc>
        <w:tc>
          <w:tcPr>
            <w:tcW w:w="2400" w:type="dxa"/>
          </w:tcPr>
          <w:p>
            <w:r>
              <w:t xml:space="preserve">Quantity</w:t>
            </w:r>
          </w:p>
        </w:tc>
        <w:tc>
          <w:tcPr>
            <w:tcW w:w="2400" w:type="dxa"/>
          </w:tcPr>
          <w:p>
            <w:r>
              <w:t xml:space="preserve">Condition</w:t>
            </w:r>
          </w:p>
        </w:tc>
        <w:tc>
          <w:tcPr>
            <w:tcW w:w="2400" w:type="dxa"/>
          </w:tcPr>
          <w:p>
            <w:r>
              <w:t xml:space="preserve">Responsibility</w:t>
            </w:r>
          </w:p>
        </w:tc>
      </w:tr>
      <w:tr>
        <w:tc>
          <w:tcPr>
            <w:tcW w:w="2400" w:type="dxa"/>
          </w:tcPr>
          <w:p>
            <w:r>
              <w:t xml:space="preserve">[Product/material]</w:t>
            </w:r>
          </w:p>
        </w:tc>
        <w:tc>
          <w:tcPr>
            <w:tcW w:w="2400" w:type="dxa"/>
          </w:tcPr>
          <w:p>
            <w:r>
              <w:t xml:space="preserve">[Qty]</w:t>
            </w:r>
          </w:p>
        </w:tc>
        <w:tc>
          <w:tcPr>
            <w:tcW w:w="2400" w:type="dxa"/>
          </w:tcPr>
          <w:p>
            <w:r>
              <w:t xml:space="preserve">[New / used / demo]</w:t>
            </w:r>
          </w:p>
        </w:tc>
        <w:tc>
          <w:tcPr>
            <w:tcW w:w="2400" w:type="dxa"/>
          </w:tcPr>
          <w:p>
            <w:r>
              <w:t xml:space="preserve">[Partner / FIXON]</w:t>
            </w:r>
          </w:p>
        </w:tc>
      </w:tr>
    </w:tbl>
    <w:p>
      <w:r>
        <w:t xml:space="preserve">Karolina Tarasenko, Partner Network Development Specialist, +48 531 448 893, heorhiibronnikov.commercial@gmail.com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rPr>
      <w:b/>
      <w:color w:val="124A2E"/>
      <w:sz w:val="38"/>
    </w:rPr>
  </w:style>
  <w:style w:type="paragraph" w:styleId="Heading2">
    <w:name w:val="heading 2"/>
    <w:basedOn w:val="Normal"/>
    <w:rPr>
      <w:b/>
      <w:color w:val="06271B"/>
      <w:sz w:val="2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