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Appendix: Display Standards</w:t>
      </w:r>
    </w:p>
    <w:p>
      <w:r>
        <w:t xml:space="preserve">Display, shelf, QR and demonstration standards for partner locations.</w:t>
      </w:r>
    </w:p>
    <w:p>
      <w:r>
        <w:t xml:space="preserve">Working legal/commercial draft. This translated version is prepared for reading, download and local counsel review before use in the selected country.</w:t>
      </w:r>
    </w:p>
    <w:p>
      <w:pPr>
        <w:pStyle w:val="Heading2"/>
      </w:pPr>
      <w:r>
        <w:t xml:space="preserve">1. Display Objective</w:t>
      </w:r>
    </w:p>
    <w:p>
      <w:r>
        <w:t xml:space="preserve">The display should make the tool's practical use clear within seconds. It should not be decorative only.</w:t>
      </w:r>
    </w:p>
    <w:p>
      <w:pPr>
        <w:pStyle w:val="Heading2"/>
      </w:pPr>
      <w:r>
        <w:t xml:space="preserve">2. QR and E-catalogue</w:t>
      </w:r>
    </w:p>
    <w:p>
      <w:r>
        <w:t xml:space="preserve">QR codes must lead to the current e-catalogue or approved product page. They should be placed close to the displayed tool or material context.</w:t>
      </w:r>
    </w:p>
    <w:p>
      <w:pPr>
        <w:pStyle w:val="Heading2"/>
      </w:pPr>
      <w:r>
        <w:t xml:space="preserve">3. Demonstration Readiness</w:t>
      </w:r>
    </w:p>
    <w:p>
      <w:r>
        <w:t xml:space="preserve">If demonstration is promised, the tool must be clean, safe and ready to show.</w:t>
      </w:r>
    </w:p>
    <w:p>
      <w:pPr>
        <w:pStyle w:val="Heading2"/>
      </w:pPr>
      <w:r>
        <w:t xml:space="preserve">Country localisation matrix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Market</w:t>
            </w:r>
          </w:p>
        </w:tc>
        <w:tc>
          <w:tcPr>
            <w:tcW w:w="2400" w:type="dxa"/>
          </w:tcPr>
          <w:p>
            <w:r>
              <w:t xml:space="preserve">Adaptation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Use UK governing law and jurisdiction where applicable; review UK GDPR, PECR, product liability and B2B sale terms.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Use state-specific law and venue; review business opportunity/franchise triggers, earnings claims, warranty, sales tax and privacy rules.</w:t>
            </w:r>
          </w:p>
        </w:tc>
      </w:tr>
      <w:tr>
        <w:tc>
          <w:tcPr>
            <w:tcW w:w="2400" w:type="dxa"/>
          </w:tcPr>
          <w:p>
            <w:r>
              <w:t xml:space="preserve">Canada</w:t>
            </w:r>
          </w:p>
        </w:tc>
        <w:tc>
          <w:tcPr>
            <w:tcW w:w="2400" w:type="dxa"/>
          </w:tcPr>
          <w:p>
            <w:r>
              <w:t xml:space="preserve">Use province-specific law; review CASL, privacy, bilingual requirements where applicable, warranty, tax and product safety.</w:t>
            </w:r>
          </w:p>
        </w:tc>
      </w:tr>
      <w:tr>
        <w:tc>
          <w:tcPr>
            <w:tcW w:w="2400" w:type="dxa"/>
          </w:tcPr>
          <w:p>
            <w:r>
              <w:t xml:space="preserve">Australia</w:t>
            </w:r>
          </w:p>
        </w:tc>
        <w:tc>
          <w:tcPr>
            <w:tcW w:w="2400" w:type="dxa"/>
          </w:tcPr>
          <w:p>
            <w:r>
              <w:t xml:space="preserve">Review Australian Consumer Law, unfair contract terms, privacy, product safety, warranty, import and tax clauses.</w:t>
            </w:r>
          </w:p>
        </w:tc>
      </w:tr>
      <w:tr>
        <w:tc>
          <w:tcPr>
            <w:tcW w:w="2400" w:type="dxa"/>
          </w:tcPr>
          <w:p>
            <w:r>
              <w:t xml:space="preserve">South Africa</w:t>
            </w:r>
          </w:p>
        </w:tc>
        <w:tc>
          <w:tcPr>
            <w:tcW w:w="2400" w:type="dxa"/>
          </w:tcPr>
          <w:p>
            <w:r>
              <w:t xml:space="preserve">Review POPIA, electronic communications, Consumer Protection Act exposure, product liability, import, tax and dispute wording.</w:t>
            </w:r>
          </w:p>
        </w:tc>
      </w:tr>
      <w:tr>
        <w:tc>
          <w:tcPr>
            <w:tcW w:w="2400" w:type="dxa"/>
          </w:tcPr>
          <w:p>
            <w:r>
              <w:t xml:space="preserve">Germany</w:t>
            </w:r>
          </w:p>
        </w:tc>
        <w:tc>
          <w:tcPr>
            <w:tcW w:w="2400" w:type="dxa"/>
          </w:tcPr>
          <w:p>
            <w:r>
              <w:t xml:space="preserve">Use German-law drafting; review BGB/HGB, GDPR/BDSG,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Austria</w:t>
            </w:r>
          </w:p>
        </w:tc>
        <w:tc>
          <w:tcPr>
            <w:tcW w:w="2400" w:type="dxa"/>
          </w:tcPr>
          <w:p>
            <w:r>
              <w:t xml:space="preserve">Use Austrian-law drafting; review ABGB/UGB, GDPR/DSG,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Switzerland</w:t>
            </w:r>
          </w:p>
        </w:tc>
        <w:tc>
          <w:tcPr>
            <w:tcW w:w="2400" w:type="dxa"/>
          </w:tcPr>
          <w:p>
            <w:r>
              <w:t xml:space="preserve">Use Swiss-law drafting; review the Code of Obligations, revised FADP, competition rules, warranty and cross-border data transfers.</w:t>
            </w:r>
          </w:p>
        </w:tc>
      </w:tr>
    </w:tbl>
    <w:p>
      <w:pPr>
        <w:pStyle w:val="Heading2"/>
      </w:pPr>
      <w:r>
        <w:t xml:space="preserve">Local clauses before signature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To review before use</w:t>
            </w:r>
          </w:p>
        </w:tc>
      </w:tr>
      <w:tr>
        <w:tc>
          <w:tcPr>
            <w:tcW w:w="2400" w:type="dxa"/>
          </w:tcPr>
          <w:p>
            <w:r>
              <w:t xml:space="preserve">Governing law</w:t>
            </w:r>
          </w:p>
        </w:tc>
        <w:tc>
          <w:tcPr>
            <w:tcW w:w="2400" w:type="dxa"/>
          </w:tcPr>
          <w:p>
            <w:r>
              <w:t xml:space="preserve">Country, venue, language and dispute resolution</w:t>
            </w:r>
          </w:p>
        </w:tc>
      </w:tr>
      <w:tr>
        <w:tc>
          <w:tcPr>
            <w:tcW w:w="2400" w:type="dxa"/>
          </w:tcPr>
          <w:p>
            <w:r>
              <w:t xml:space="preserve">Privacy</w:t>
            </w:r>
          </w:p>
        </w:tc>
        <w:tc>
          <w:tcPr>
            <w:tcW w:w="2400" w:type="dxa"/>
          </w:tcPr>
          <w:p>
            <w:r>
              <w:t xml:space="preserve">Roles, notices, consent and data transfers</w:t>
            </w:r>
          </w:p>
        </w:tc>
      </w:tr>
      <w:tr>
        <w:tc>
          <w:tcPr>
            <w:tcW w:w="2400" w:type="dxa"/>
          </w:tcPr>
          <w:p>
            <w:r>
              <w:t xml:space="preserve">Product &amp; sales</w:t>
            </w:r>
          </w:p>
        </w:tc>
        <w:tc>
          <w:tcPr>
            <w:tcW w:w="2400" w:type="dxa"/>
          </w:tcPr>
          <w:p>
            <w:r>
              <w:t xml:space="preserve">Warranty, liability, safety, tax and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Electronic communication, claims, testimonials and pricing displays</w:t>
            </w:r>
          </w:p>
        </w:tc>
      </w:tr>
    </w:tbl>
    <w:p>
      <w:pPr>
        <w:pStyle w:val="Heading2"/>
      </w:pPr>
      <w:r>
        <w:t xml:space="preserve">Document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Standard</w:t>
            </w:r>
          </w:p>
        </w:tc>
      </w:tr>
      <w:tr>
        <w:tc>
          <w:tcPr>
            <w:tcW w:w="2400" w:type="dxa"/>
          </w:tcPr>
          <w:p>
            <w:r>
              <w:t xml:space="preserve">Shelf / display</w:t>
            </w:r>
          </w:p>
        </w:tc>
        <w:tc>
          <w:tcPr>
            <w:tcW w:w="2400" w:type="dxa"/>
          </w:tcPr>
          <w:p>
            <w:r>
              <w:t xml:space="preserve">Clear product name, use case and QR</w:t>
            </w:r>
          </w:p>
        </w:tc>
      </w:tr>
      <w:tr>
        <w:tc>
          <w:tcPr>
            <w:tcW w:w="2400" w:type="dxa"/>
          </w:tcPr>
          <w:p>
            <w:r>
              <w:t xml:space="preserve">Demo tool</w:t>
            </w:r>
          </w:p>
        </w:tc>
        <w:tc>
          <w:tcPr>
            <w:tcW w:w="2400" w:type="dxa"/>
          </w:tcPr>
          <w:p>
            <w:r>
              <w:t xml:space="preserve">Safe, complete and presentable</w:t>
            </w:r>
          </w:p>
        </w:tc>
      </w:tr>
      <w:tr>
        <w:tc>
          <w:tcPr>
            <w:tcW w:w="2400" w:type="dxa"/>
          </w:tcPr>
          <w:p>
            <w:r>
              <w:t xml:space="preserve">Printed materials</w:t>
            </w:r>
          </w:p>
        </w:tc>
        <w:tc>
          <w:tcPr>
            <w:tcW w:w="2400" w:type="dxa"/>
          </w:tcPr>
          <w:p>
            <w:r>
              <w:t xml:space="preserve">Only approved brand and sales claims</w:t>
            </w:r>
          </w:p>
        </w:tc>
      </w:tr>
      <w:tr>
        <w:tc>
          <w:tcPr>
            <w:tcW w:w="2400" w:type="dxa"/>
          </w:tcPr>
          <w:p>
            <w:r>
              <w:t xml:space="preserve">Updates</w:t>
            </w:r>
          </w:p>
        </w:tc>
        <w:tc>
          <w:tcPr>
            <w:tcW w:w="2400" w:type="dxa"/>
          </w:tcPr>
          <w:p>
            <w:r>
              <w:t xml:space="preserve">Old claims and old prices removed promptly</w:t>
            </w:r>
          </w:p>
        </w:tc>
      </w:tr>
    </w:tbl>
    <w:p>
      <w:r>
        <w:t xml:space="preserve">Karolina Tarasenko, Partner Network Development Specialist,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