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Appendix: Product Statuses</w:t>
      </w:r>
    </w:p>
    <w:p>
      <w:r>
        <w:t xml:space="preserve">Definitions of product availability and sales statuses used in the catalogue and reports.</w:t>
      </w:r>
    </w:p>
    <w:p>
      <w:r>
        <w:t xml:space="preserve">Working legal/commercial draft. This translated version is prepared for reading, download and local counsel review before use in the selected country.</w:t>
      </w:r>
    </w:p>
    <w:p>
      <w:pPr>
        <w:pStyle w:val="Heading2"/>
      </w:pPr>
      <w:r>
        <w:t xml:space="preserve">1. Purpose</w:t>
      </w:r>
    </w:p>
    <w:p>
      <w:r>
        <w:t xml:space="preserve">Product statuses prevent unclear promises and help the salesperson explain availability responsibly.</w:t>
      </w:r>
    </w:p>
    <w:p>
      <w:pPr>
        <w:pStyle w:val="Heading2"/>
      </w:pPr>
      <w:r>
        <w:t xml:space="preserve">2. Communication</w:t>
      </w:r>
    </w:p>
    <w:p>
      <w:r>
        <w:t xml:space="preserve">The Partner may communicate only the current approved status from the e-catalogue or FIXON update.</w:t>
      </w:r>
    </w:p>
    <w:p>
      <w:pPr>
        <w:pStyle w:val="Heading2"/>
      </w:pPr>
      <w:r>
        <w:t xml:space="preserve">3. Updates</w:t>
      </w:r>
    </w:p>
    <w:p>
      <w:r>
        <w:t xml:space="preserve">Status changes should be reflected in the monthly report and urgent notice process when they affect confirmed orders.</w:t>
      </w:r>
    </w:p>
    <w:p>
      <w:pPr>
        <w:pStyle w:val="Heading2"/>
      </w:pPr>
      <w:r>
        <w:t xml:space="preserve">Country localisation matrix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Market</w:t>
            </w:r>
          </w:p>
        </w:tc>
        <w:tc>
          <w:tcPr>
            <w:tcW w:w="2400" w:type="dxa"/>
          </w:tcPr>
          <w:p>
            <w:r>
              <w:t xml:space="preserve">Adaptation</w:t>
            </w:r>
          </w:p>
        </w:tc>
      </w:tr>
      <w:tr>
        <w:tc>
          <w:tcPr>
            <w:tcW w:w="2400" w:type="dxa"/>
          </w:tcPr>
          <w:p>
            <w:r>
              <w:t xml:space="preserve">UK</w:t>
            </w:r>
          </w:p>
        </w:tc>
        <w:tc>
          <w:tcPr>
            <w:tcW w:w="2400" w:type="dxa"/>
          </w:tcPr>
          <w:p>
            <w:r>
              <w:t xml:space="preserve">Use UK governing law and jurisdiction where applicable; review UK GDPR, PECR, product liability and B2B sale terms.</w:t>
            </w:r>
          </w:p>
        </w:tc>
      </w:tr>
      <w:tr>
        <w:tc>
          <w:tcPr>
            <w:tcW w:w="2400" w:type="dxa"/>
          </w:tcPr>
          <w:p>
            <w:r>
              <w:t xml:space="preserve">USA</w:t>
            </w:r>
          </w:p>
        </w:tc>
        <w:tc>
          <w:tcPr>
            <w:tcW w:w="2400" w:type="dxa"/>
          </w:tcPr>
          <w:p>
            <w:r>
              <w:t xml:space="preserve">Use state-specific law and venue; review business opportunity/franchise triggers, earnings claims, warranty, sales tax and privacy rules.</w:t>
            </w:r>
          </w:p>
        </w:tc>
      </w:tr>
      <w:tr>
        <w:tc>
          <w:tcPr>
            <w:tcW w:w="2400" w:type="dxa"/>
          </w:tcPr>
          <w:p>
            <w:r>
              <w:t xml:space="preserve">Canada</w:t>
            </w:r>
          </w:p>
        </w:tc>
        <w:tc>
          <w:tcPr>
            <w:tcW w:w="2400" w:type="dxa"/>
          </w:tcPr>
          <w:p>
            <w:r>
              <w:t xml:space="preserve">Use province-specific law; review CASL, privacy, bilingual requirements where applicable, warranty, tax and product safety.</w:t>
            </w:r>
          </w:p>
        </w:tc>
      </w:tr>
      <w:tr>
        <w:tc>
          <w:tcPr>
            <w:tcW w:w="2400" w:type="dxa"/>
          </w:tcPr>
          <w:p>
            <w:r>
              <w:t xml:space="preserve">Australia</w:t>
            </w:r>
          </w:p>
        </w:tc>
        <w:tc>
          <w:tcPr>
            <w:tcW w:w="2400" w:type="dxa"/>
          </w:tcPr>
          <w:p>
            <w:r>
              <w:t xml:space="preserve">Review Australian Consumer Law, unfair contract terms, privacy, product safety, warranty, import and tax clauses.</w:t>
            </w:r>
          </w:p>
        </w:tc>
      </w:tr>
      <w:tr>
        <w:tc>
          <w:tcPr>
            <w:tcW w:w="2400" w:type="dxa"/>
          </w:tcPr>
          <w:p>
            <w:r>
              <w:t xml:space="preserve">South Africa</w:t>
            </w:r>
          </w:p>
        </w:tc>
        <w:tc>
          <w:tcPr>
            <w:tcW w:w="2400" w:type="dxa"/>
          </w:tcPr>
          <w:p>
            <w:r>
              <w:t xml:space="preserve">Review POPIA, electronic communications, Consumer Protection Act exposure, product liability, import, tax and dispute wording.</w:t>
            </w:r>
          </w:p>
        </w:tc>
      </w:tr>
      <w:tr>
        <w:tc>
          <w:tcPr>
            <w:tcW w:w="2400" w:type="dxa"/>
          </w:tcPr>
          <w:p>
            <w:r>
              <w:t xml:space="preserve">Germany</w:t>
            </w:r>
          </w:p>
        </w:tc>
        <w:tc>
          <w:tcPr>
            <w:tcW w:w="2400" w:type="dxa"/>
          </w:tcPr>
          <w:p>
            <w:r>
              <w:t xml:space="preserve">Use German-law drafting; review BGB/HGB, GDPR/BDSG, UWG marketing rules, warranty, retention of title and standard-term controls.</w:t>
            </w:r>
          </w:p>
        </w:tc>
      </w:tr>
      <w:tr>
        <w:tc>
          <w:tcPr>
            <w:tcW w:w="2400" w:type="dxa"/>
          </w:tcPr>
          <w:p>
            <w:r>
              <w:t xml:space="preserve">Austria</w:t>
            </w:r>
          </w:p>
        </w:tc>
        <w:tc>
          <w:tcPr>
            <w:tcW w:w="2400" w:type="dxa"/>
          </w:tcPr>
          <w:p>
            <w:r>
              <w:t xml:space="preserve">Use Austrian-law drafting; review ABGB/UGB, GDPR/DSG, UWG marketing rules, warranty, retention of title and standard-term controls.</w:t>
            </w:r>
          </w:p>
        </w:tc>
      </w:tr>
      <w:tr>
        <w:tc>
          <w:tcPr>
            <w:tcW w:w="2400" w:type="dxa"/>
          </w:tcPr>
          <w:p>
            <w:r>
              <w:t xml:space="preserve">Switzerland</w:t>
            </w:r>
          </w:p>
        </w:tc>
        <w:tc>
          <w:tcPr>
            <w:tcW w:w="2400" w:type="dxa"/>
          </w:tcPr>
          <w:p>
            <w:r>
              <w:t xml:space="preserve">Use Swiss-law drafting; review the Code of Obligations, revised FADP, competition rules, warranty and cross-border data transfers.</w:t>
            </w:r>
          </w:p>
        </w:tc>
      </w:tr>
    </w:tbl>
    <w:p>
      <w:pPr>
        <w:pStyle w:val="Heading2"/>
      </w:pPr>
      <w:r>
        <w:t xml:space="preserve">Local clauses before signature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Area</w:t>
            </w:r>
          </w:p>
        </w:tc>
        <w:tc>
          <w:tcPr>
            <w:tcW w:w="2400" w:type="dxa"/>
          </w:tcPr>
          <w:p>
            <w:r>
              <w:t xml:space="preserve">To review before use</w:t>
            </w:r>
          </w:p>
        </w:tc>
      </w:tr>
      <w:tr>
        <w:tc>
          <w:tcPr>
            <w:tcW w:w="2400" w:type="dxa"/>
          </w:tcPr>
          <w:p>
            <w:r>
              <w:t xml:space="preserve">Governing law</w:t>
            </w:r>
          </w:p>
        </w:tc>
        <w:tc>
          <w:tcPr>
            <w:tcW w:w="2400" w:type="dxa"/>
          </w:tcPr>
          <w:p>
            <w:r>
              <w:t xml:space="preserve">Country, venue, language and dispute resolution</w:t>
            </w:r>
          </w:p>
        </w:tc>
      </w:tr>
      <w:tr>
        <w:tc>
          <w:tcPr>
            <w:tcW w:w="2400" w:type="dxa"/>
          </w:tcPr>
          <w:p>
            <w:r>
              <w:t xml:space="preserve">Privacy</w:t>
            </w:r>
          </w:p>
        </w:tc>
        <w:tc>
          <w:tcPr>
            <w:tcW w:w="2400" w:type="dxa"/>
          </w:tcPr>
          <w:p>
            <w:r>
              <w:t xml:space="preserve">Roles, notices, consent and data transfers</w:t>
            </w:r>
          </w:p>
        </w:tc>
      </w:tr>
      <w:tr>
        <w:tc>
          <w:tcPr>
            <w:tcW w:w="2400" w:type="dxa"/>
          </w:tcPr>
          <w:p>
            <w:r>
              <w:t xml:space="preserve">Product &amp; sales</w:t>
            </w:r>
          </w:p>
        </w:tc>
        <w:tc>
          <w:tcPr>
            <w:tcW w:w="2400" w:type="dxa"/>
          </w:tcPr>
          <w:p>
            <w:r>
              <w:t xml:space="preserve">Warranty, liability, safety, tax and import</w:t>
            </w:r>
          </w:p>
        </w:tc>
      </w:tr>
      <w:tr>
        <w:tc>
          <w:tcPr>
            <w:tcW w:w="2400" w:type="dxa"/>
          </w:tcPr>
          <w:p>
            <w:r>
              <w:t xml:space="preserve">Marketing</w:t>
            </w:r>
          </w:p>
        </w:tc>
        <w:tc>
          <w:tcPr>
            <w:tcW w:w="2400" w:type="dxa"/>
          </w:tcPr>
          <w:p>
            <w:r>
              <w:t xml:space="preserve">Electronic communication, claims, testimonials and pricing displays</w:t>
            </w:r>
          </w:p>
        </w:tc>
      </w:tr>
    </w:tbl>
    <w:p>
      <w:pPr>
        <w:pStyle w:val="Heading2"/>
      </w:pPr>
      <w:r>
        <w:t xml:space="preserve">Document table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Status</w:t>
            </w:r>
          </w:p>
        </w:tc>
        <w:tc>
          <w:tcPr>
            <w:tcW w:w="2400" w:type="dxa"/>
          </w:tcPr>
          <w:p>
            <w:r>
              <w:t xml:space="preserve">Sales meaning</w:t>
            </w:r>
          </w:p>
        </w:tc>
      </w:tr>
      <w:tr>
        <w:tc>
          <w:tcPr>
            <w:tcW w:w="2400" w:type="dxa"/>
          </w:tcPr>
          <w:p>
            <w:r>
              <w:t xml:space="preserve">Available</w:t>
            </w:r>
          </w:p>
        </w:tc>
        <w:tc>
          <w:tcPr>
            <w:tcW w:w="2400" w:type="dxa"/>
          </w:tcPr>
          <w:p>
            <w:r>
              <w:t xml:space="preserve">Product can be offered under current terms</w:t>
            </w:r>
          </w:p>
        </w:tc>
      </w:tr>
      <w:tr>
        <w:tc>
          <w:tcPr>
            <w:tcW w:w="2400" w:type="dxa"/>
          </w:tcPr>
          <w:p>
            <w:r>
              <w:t xml:space="preserve">Order 7 / 14</w:t>
            </w:r>
          </w:p>
        </w:tc>
        <w:tc>
          <w:tcPr>
            <w:tcW w:w="2400" w:type="dxa"/>
          </w:tcPr>
          <w:p>
            <w:r>
              <w:t xml:space="preserve">Product expected within the indicated ordering period</w:t>
            </w:r>
          </w:p>
        </w:tc>
      </w:tr>
      <w:tr>
        <w:tc>
          <w:tcPr>
            <w:tcW w:w="2400" w:type="dxa"/>
          </w:tcPr>
          <w:p>
            <w:r>
              <w:t xml:space="preserve">On request</w:t>
            </w:r>
          </w:p>
        </w:tc>
        <w:tc>
          <w:tcPr>
            <w:tcW w:w="2400" w:type="dxa"/>
          </w:tcPr>
          <w:p>
            <w:r>
              <w:t xml:space="preserve">Requires confirmation before customer commitment</w:t>
            </w:r>
          </w:p>
        </w:tc>
      </w:tr>
      <w:tr>
        <w:tc>
          <w:tcPr>
            <w:tcW w:w="2400" w:type="dxa"/>
          </w:tcPr>
          <w:p>
            <w:r>
              <w:t xml:space="preserve">Paused</w:t>
            </w:r>
          </w:p>
        </w:tc>
        <w:tc>
          <w:tcPr>
            <w:tcW w:w="2400" w:type="dxa"/>
          </w:tcPr>
          <w:p>
            <w:r>
              <w:t xml:space="preserve">Do not actively offer until updated</w:t>
            </w:r>
          </w:p>
        </w:tc>
      </w:tr>
      <w:tr>
        <w:tc>
          <w:tcPr>
            <w:tcW w:w="2400" w:type="dxa"/>
          </w:tcPr>
          <w:p>
            <w:r>
              <w:t xml:space="preserve">Discontinued</w:t>
            </w:r>
          </w:p>
        </w:tc>
        <w:tc>
          <w:tcPr>
            <w:tcW w:w="2400" w:type="dxa"/>
          </w:tcPr>
          <w:p>
            <w:r>
              <w:t xml:space="preserve">Do not sell unless replacement or remaining stock is approved</w:t>
            </w:r>
          </w:p>
        </w:tc>
      </w:tr>
    </w:tbl>
    <w:p>
      <w:r>
        <w:t xml:space="preserve">Karolina Tarasenko, Partner Network Development Specialist, +48 531 448 893, heorhiibronnikov.commercial@gmail.com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rPr>
      <w:b/>
      <w:color w:val="124A2E"/>
      <w:sz w:val="38"/>
    </w:rPr>
  </w:style>
  <w:style w:type="paragraph" w:styleId="Heading2">
    <w:name w:val="heading 2"/>
    <w:basedOn w:val="Normal"/>
    <w:rPr>
      <w:b/>
      <w:color w:val="06271B"/>
      <w:sz w:val="28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