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Appendix: Damage or Loss Protocol</w:t>
      </w:r>
    </w:p>
    <w:p>
      <w:r>
        <w:t xml:space="preserve">Damage or loss protocol for products, tools, displays or demonstration elements.</w:t>
      </w:r>
    </w:p>
    <w:p>
      <w:r>
        <w:t xml:space="preserve">Working legal/commercial draft. This translated version is prepared for reading, download and local counsel review before use in the selected country.</w:t>
      </w:r>
    </w:p>
    <w:p>
      <w:pPr>
        <w:pStyle w:val="Heading2"/>
      </w:pPr>
      <w:r>
        <w:t xml:space="preserve">1. Event Description</w:t>
      </w:r>
    </w:p>
    <w:p>
      <w:r>
        <w:t xml:space="preserve">The protocol records when and how the product was damaged or lost and who discovered the event.</w:t>
      </w:r>
    </w:p>
    <w:p>
      <w:pPr>
        <w:pStyle w:val="Heading2"/>
      </w:pPr>
      <w:r>
        <w:t xml:space="preserve">2. Evidence</w:t>
      </w:r>
    </w:p>
    <w:p>
      <w:r>
        <w:t xml:space="preserve">Photos, customer information, courier records or internal notes should be attached when available.</w:t>
      </w:r>
    </w:p>
    <w:p>
      <w:pPr>
        <w:pStyle w:val="Heading2"/>
      </w:pPr>
      <w:r>
        <w:t xml:space="preserve">3. Responsibility</w:t>
      </w:r>
    </w:p>
    <w:p>
      <w:r>
        <w:t xml:space="preserve">Responsibility and settlement effect must be decided according to the agreement and local mandatory law.</w:t>
      </w:r>
    </w:p>
    <w:p>
      <w:pPr>
        <w:pStyle w:val="Heading2"/>
      </w:pPr>
      <w:r>
        <w:t xml:space="preserve">Country localisation matrix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Market</w:t>
            </w:r>
          </w:p>
        </w:tc>
        <w:tc>
          <w:tcPr>
            <w:tcW w:w="2400" w:type="dxa"/>
          </w:tcPr>
          <w:p>
            <w:r>
              <w:t xml:space="preserve">Adaptation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Use UK governing law and jurisdiction where applicable; review UK GDPR, PECR, product liability and B2B sale terms.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Use state-specific law and venue; review business opportunity/franchise triggers, earnings claims, warranty, sales tax and privacy rules.</w:t>
            </w:r>
          </w:p>
        </w:tc>
      </w:tr>
      <w:tr>
        <w:tc>
          <w:tcPr>
            <w:tcW w:w="2400" w:type="dxa"/>
          </w:tcPr>
          <w:p>
            <w:r>
              <w:t xml:space="preserve">Canada</w:t>
            </w:r>
          </w:p>
        </w:tc>
        <w:tc>
          <w:tcPr>
            <w:tcW w:w="2400" w:type="dxa"/>
          </w:tcPr>
          <w:p>
            <w:r>
              <w:t xml:space="preserve">Use province-specific law; review CASL, privacy, bilingual requirements where applicable, warranty, tax and product safety.</w:t>
            </w:r>
          </w:p>
        </w:tc>
      </w:tr>
      <w:tr>
        <w:tc>
          <w:tcPr>
            <w:tcW w:w="2400" w:type="dxa"/>
          </w:tcPr>
          <w:p>
            <w:r>
              <w:t xml:space="preserve">Australia</w:t>
            </w:r>
          </w:p>
        </w:tc>
        <w:tc>
          <w:tcPr>
            <w:tcW w:w="2400" w:type="dxa"/>
          </w:tcPr>
          <w:p>
            <w:r>
              <w:t xml:space="preserve">Review Australian Consumer Law, unfair contract terms, privacy, product safety, warranty, import and tax clauses.</w:t>
            </w:r>
          </w:p>
        </w:tc>
      </w:tr>
      <w:tr>
        <w:tc>
          <w:tcPr>
            <w:tcW w:w="2400" w:type="dxa"/>
          </w:tcPr>
          <w:p>
            <w:r>
              <w:t xml:space="preserve">South Africa</w:t>
            </w:r>
          </w:p>
        </w:tc>
        <w:tc>
          <w:tcPr>
            <w:tcW w:w="2400" w:type="dxa"/>
          </w:tcPr>
          <w:p>
            <w:r>
              <w:t xml:space="preserve">Review POPIA, electronic communications, Consumer Protection Act exposure, product liability, import, tax and dispute wording.</w:t>
            </w:r>
          </w:p>
        </w:tc>
      </w:tr>
      <w:tr>
        <w:tc>
          <w:tcPr>
            <w:tcW w:w="2400" w:type="dxa"/>
          </w:tcPr>
          <w:p>
            <w:r>
              <w:t xml:space="preserve">Germany</w:t>
            </w:r>
          </w:p>
        </w:tc>
        <w:tc>
          <w:tcPr>
            <w:tcW w:w="2400" w:type="dxa"/>
          </w:tcPr>
          <w:p>
            <w:r>
              <w:t xml:space="preserve">Use German-law drafting; review BGB/HGB, GDPR/BDSG,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Austria</w:t>
            </w:r>
          </w:p>
        </w:tc>
        <w:tc>
          <w:tcPr>
            <w:tcW w:w="2400" w:type="dxa"/>
          </w:tcPr>
          <w:p>
            <w:r>
              <w:t xml:space="preserve">Use Austrian-law drafting; review ABGB/UGB, GDPR/DSG,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Switzerland</w:t>
            </w:r>
          </w:p>
        </w:tc>
        <w:tc>
          <w:tcPr>
            <w:tcW w:w="2400" w:type="dxa"/>
          </w:tcPr>
          <w:p>
            <w:r>
              <w:t xml:space="preserve">Use Swiss-law drafting; review the Code of Obligations, revised FADP, competition rules, warranty and cross-border data transfers.</w:t>
            </w:r>
          </w:p>
        </w:tc>
      </w:tr>
    </w:tbl>
    <w:p>
      <w:pPr>
        <w:pStyle w:val="Heading2"/>
      </w:pPr>
      <w:r>
        <w:t xml:space="preserve">Local clauses before signature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To review before use</w:t>
            </w:r>
          </w:p>
        </w:tc>
      </w:tr>
      <w:tr>
        <w:tc>
          <w:tcPr>
            <w:tcW w:w="2400" w:type="dxa"/>
          </w:tcPr>
          <w:p>
            <w:r>
              <w:t xml:space="preserve">Governing law</w:t>
            </w:r>
          </w:p>
        </w:tc>
        <w:tc>
          <w:tcPr>
            <w:tcW w:w="2400" w:type="dxa"/>
          </w:tcPr>
          <w:p>
            <w:r>
              <w:t xml:space="preserve">Country, venue, language and dispute resolution</w:t>
            </w:r>
          </w:p>
        </w:tc>
      </w:tr>
      <w:tr>
        <w:tc>
          <w:tcPr>
            <w:tcW w:w="2400" w:type="dxa"/>
          </w:tcPr>
          <w:p>
            <w:r>
              <w:t xml:space="preserve">Privacy</w:t>
            </w:r>
          </w:p>
        </w:tc>
        <w:tc>
          <w:tcPr>
            <w:tcW w:w="2400" w:type="dxa"/>
          </w:tcPr>
          <w:p>
            <w:r>
              <w:t xml:space="preserve">Roles, notices, consent and data transfers</w:t>
            </w:r>
          </w:p>
        </w:tc>
      </w:tr>
      <w:tr>
        <w:tc>
          <w:tcPr>
            <w:tcW w:w="2400" w:type="dxa"/>
          </w:tcPr>
          <w:p>
            <w:r>
              <w:t xml:space="preserve">Product &amp; sales</w:t>
            </w:r>
          </w:p>
        </w:tc>
        <w:tc>
          <w:tcPr>
            <w:tcW w:w="2400" w:type="dxa"/>
          </w:tcPr>
          <w:p>
            <w:r>
              <w:t xml:space="preserve">Warranty, liability, safety, tax and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Electronic communication, claims, testimonials and pricing displays</w:t>
            </w:r>
          </w:p>
        </w:tc>
      </w:tr>
    </w:tbl>
    <w:p>
      <w:pPr>
        <w:pStyle w:val="Heading2"/>
      </w:pPr>
      <w:r>
        <w:t xml:space="preserve">Document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Product</w:t>
            </w:r>
          </w:p>
        </w:tc>
        <w:tc>
          <w:tcPr>
            <w:tcW w:w="2400" w:type="dxa"/>
          </w:tcPr>
          <w:p>
            <w:r>
              <w:t xml:space="preserve">[Name / SKU]</w:t>
            </w:r>
          </w:p>
        </w:tc>
      </w:tr>
      <w:tr>
        <w:tc>
          <w:tcPr>
            <w:tcW w:w="2400" w:type="dxa"/>
          </w:tcPr>
          <w:p>
            <w:r>
              <w:t xml:space="preserve">Event date</w:t>
            </w:r>
          </w:p>
        </w:tc>
        <w:tc>
          <w:tcPr>
            <w:tcW w:w="2400" w:type="dxa"/>
          </w:tcPr>
          <w:p>
            <w:r>
              <w:t xml:space="preserve">[Date]</w:t>
            </w:r>
          </w:p>
        </w:tc>
      </w:tr>
      <w:tr>
        <w:tc>
          <w:tcPr>
            <w:tcW w:w="2400" w:type="dxa"/>
          </w:tcPr>
          <w:p>
            <w:r>
              <w:t xml:space="preserve">Condition</w:t>
            </w:r>
          </w:p>
        </w:tc>
        <w:tc>
          <w:tcPr>
            <w:tcW w:w="2400" w:type="dxa"/>
          </w:tcPr>
          <w:p>
            <w:r>
              <w:t xml:space="preserve">[Damaged / missing / incomplete]</w:t>
            </w:r>
          </w:p>
        </w:tc>
      </w:tr>
      <w:tr>
        <w:tc>
          <w:tcPr>
            <w:tcW w:w="2400" w:type="dxa"/>
          </w:tcPr>
          <w:p>
            <w:r>
              <w:t xml:space="preserve">Proposed action</w:t>
            </w:r>
          </w:p>
        </w:tc>
        <w:tc>
          <w:tcPr>
            <w:tcW w:w="2400" w:type="dxa"/>
          </w:tcPr>
          <w:p>
            <w:r>
              <w:t xml:space="preserve">[Repair / replacement / write-off / investigation]</w:t>
            </w:r>
          </w:p>
        </w:tc>
      </w:tr>
    </w:tbl>
    <w:p>
      <w:r>
        <w:t xml:space="preserve">Karolina Tarasenko, Partner Network Development Specialist,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