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Appendix: Stock Support</w:t>
      </w:r>
    </w:p>
    <w:p>
      <w:r>
        <w:t xml:space="preserve">Stock-support rules for availability, replenishment and partner growth after the launch phase.</w:t>
      </w:r>
    </w:p>
    <w:p>
      <w:r>
        <w:t xml:space="preserve">Working legal/commercial draft. This translated version is prepared for reading, download and local counsel review before use in the selected country.</w:t>
      </w:r>
    </w:p>
    <w:p>
      <w:pPr>
        <w:pStyle w:val="Heading2"/>
      </w:pPr>
      <w:r>
        <w:t xml:space="preserve">1. Support Scope</w:t>
      </w:r>
    </w:p>
    <w:p>
      <w:r>
        <w:t xml:space="preserve">Stock support helps maintain availability of products that show real demand. It is not an automatic obligation to finance unlimited inventory.</w:t>
      </w:r>
    </w:p>
    <w:p>
      <w:pPr>
        <w:pStyle w:val="Heading2"/>
      </w:pPr>
      <w:r>
        <w:t xml:space="preserve">2. Replenishment</w:t>
      </w:r>
    </w:p>
    <w:p>
      <w:r>
        <w:t xml:space="preserve">Replenishment is based on monthly reports, stock status, lead time and agreed product priorities.</w:t>
      </w:r>
    </w:p>
    <w:p>
      <w:pPr>
        <w:pStyle w:val="Heading2"/>
      </w:pPr>
      <w:r>
        <w:t xml:space="preserve">3. Ownership and Risk</w:t>
      </w:r>
    </w:p>
    <w:p>
      <w:r>
        <w:t xml:space="preserve">Ownership, risk, insurance and loss responsibility must be defined in the local version or order documents.</w:t>
      </w:r>
    </w:p>
    <w:p>
      <w:pPr>
        <w:pStyle w:val="Heading2"/>
      </w:pPr>
      <w:r>
        <w:t xml:space="preserve">Country localisation matrix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Market</w:t>
            </w:r>
          </w:p>
        </w:tc>
        <w:tc>
          <w:tcPr>
            <w:tcW w:w="2400" w:type="dxa"/>
          </w:tcPr>
          <w:p>
            <w:r>
              <w:t xml:space="preserve">Adaptation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Use UK governing law and jurisdiction where applicable; review UK GDPR, PECR, product liability and B2B sale terms.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Use state-specific law and venue; review business opportunity/franchise triggers, earnings claims, warranty, sales tax and privacy rules.</w:t>
            </w:r>
          </w:p>
        </w:tc>
      </w:tr>
      <w:tr>
        <w:tc>
          <w:tcPr>
            <w:tcW w:w="2400" w:type="dxa"/>
          </w:tcPr>
          <w:p>
            <w:r>
              <w:t xml:space="preserve">Canada</w:t>
            </w:r>
          </w:p>
        </w:tc>
        <w:tc>
          <w:tcPr>
            <w:tcW w:w="2400" w:type="dxa"/>
          </w:tcPr>
          <w:p>
            <w:r>
              <w:t xml:space="preserve">Use province-specific law; review CASL, privacy, bilingual requirements where applicable, warranty, tax and product safety.</w:t>
            </w:r>
          </w:p>
        </w:tc>
      </w:tr>
      <w:tr>
        <w:tc>
          <w:tcPr>
            <w:tcW w:w="2400" w:type="dxa"/>
          </w:tcPr>
          <w:p>
            <w:r>
              <w:t xml:space="preserve">Australia</w:t>
            </w:r>
          </w:p>
        </w:tc>
        <w:tc>
          <w:tcPr>
            <w:tcW w:w="2400" w:type="dxa"/>
          </w:tcPr>
          <w:p>
            <w:r>
              <w:t xml:space="preserve">Review Australian Consumer Law, unfair contract terms, privacy, product safety, warranty, import and tax clauses.</w:t>
            </w:r>
          </w:p>
        </w:tc>
      </w:tr>
      <w:tr>
        <w:tc>
          <w:tcPr>
            <w:tcW w:w="2400" w:type="dxa"/>
          </w:tcPr>
          <w:p>
            <w:r>
              <w:t xml:space="preserve">South Africa</w:t>
            </w:r>
          </w:p>
        </w:tc>
        <w:tc>
          <w:tcPr>
            <w:tcW w:w="2400" w:type="dxa"/>
          </w:tcPr>
          <w:p>
            <w:r>
              <w:t xml:space="preserve">Review POPIA, electronic communications, Consumer Protection Act exposure, product liability, import, tax and dispute wording.</w:t>
            </w:r>
          </w:p>
        </w:tc>
      </w:tr>
      <w:tr>
        <w:tc>
          <w:tcPr>
            <w:tcW w:w="2400" w:type="dxa"/>
          </w:tcPr>
          <w:p>
            <w:r>
              <w:t xml:space="preserve">Germany</w:t>
            </w:r>
          </w:p>
        </w:tc>
        <w:tc>
          <w:tcPr>
            <w:tcW w:w="2400" w:type="dxa"/>
          </w:tcPr>
          <w:p>
            <w:r>
              <w:t xml:space="preserve">Use German-law drafting; review BGB/HGB, GDPR/BDSG,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Austria</w:t>
            </w:r>
          </w:p>
        </w:tc>
        <w:tc>
          <w:tcPr>
            <w:tcW w:w="2400" w:type="dxa"/>
          </w:tcPr>
          <w:p>
            <w:r>
              <w:t xml:space="preserve">Use Austrian-law drafting; review ABGB/UGB, GDPR/DSG,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Switzerland</w:t>
            </w:r>
          </w:p>
        </w:tc>
        <w:tc>
          <w:tcPr>
            <w:tcW w:w="2400" w:type="dxa"/>
          </w:tcPr>
          <w:p>
            <w:r>
              <w:t xml:space="preserve">Use Swiss-law drafting; review the Code of Obligations, revised FADP, competition rules, warranty and cross-border data transfers.</w:t>
            </w:r>
          </w:p>
        </w:tc>
      </w:tr>
    </w:tbl>
    <w:p>
      <w:pPr>
        <w:pStyle w:val="Heading2"/>
      </w:pPr>
      <w:r>
        <w:t xml:space="preserve">Local clauses before signature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To review before use</w:t>
            </w:r>
          </w:p>
        </w:tc>
      </w:tr>
      <w:tr>
        <w:tc>
          <w:tcPr>
            <w:tcW w:w="2400" w:type="dxa"/>
          </w:tcPr>
          <w:p>
            <w:r>
              <w:t xml:space="preserve">Governing law</w:t>
            </w:r>
          </w:p>
        </w:tc>
        <w:tc>
          <w:tcPr>
            <w:tcW w:w="2400" w:type="dxa"/>
          </w:tcPr>
          <w:p>
            <w:r>
              <w:t xml:space="preserve">Country, venue, language and dispute resolution</w:t>
            </w:r>
          </w:p>
        </w:tc>
      </w:tr>
      <w:tr>
        <w:tc>
          <w:tcPr>
            <w:tcW w:w="2400" w:type="dxa"/>
          </w:tcPr>
          <w:p>
            <w:r>
              <w:t xml:space="preserve">Privacy</w:t>
            </w:r>
          </w:p>
        </w:tc>
        <w:tc>
          <w:tcPr>
            <w:tcW w:w="2400" w:type="dxa"/>
          </w:tcPr>
          <w:p>
            <w:r>
              <w:t xml:space="preserve">Roles, notices, consent and data transfers</w:t>
            </w:r>
          </w:p>
        </w:tc>
      </w:tr>
      <w:tr>
        <w:tc>
          <w:tcPr>
            <w:tcW w:w="2400" w:type="dxa"/>
          </w:tcPr>
          <w:p>
            <w:r>
              <w:t xml:space="preserve">Product &amp; sales</w:t>
            </w:r>
          </w:p>
        </w:tc>
        <w:tc>
          <w:tcPr>
            <w:tcW w:w="2400" w:type="dxa"/>
          </w:tcPr>
          <w:p>
            <w:r>
              <w:t xml:space="preserve">Warranty, liability, safety, tax and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Electronic communication, claims, testimonials and pricing displays</w:t>
            </w:r>
          </w:p>
        </w:tc>
      </w:tr>
    </w:tbl>
    <w:p>
      <w:pPr>
        <w:pStyle w:val="Heading2"/>
      </w:pPr>
      <w:r>
        <w:t xml:space="preserve">Document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Status</w:t>
            </w:r>
          </w:p>
        </w:tc>
        <w:tc>
          <w:tcPr>
            <w:tcW w:w="2400" w:type="dxa"/>
          </w:tcPr>
          <w:p>
            <w:r>
              <w:t xml:space="preserve">Meaning</w:t>
            </w:r>
          </w:p>
        </w:tc>
      </w:tr>
      <w:tr>
        <w:tc>
          <w:tcPr>
            <w:tcW w:w="2400" w:type="dxa"/>
          </w:tcPr>
          <w:p>
            <w:r>
              <w:t xml:space="preserve">Pilot stock</w:t>
            </w:r>
          </w:p>
        </w:tc>
        <w:tc>
          <w:tcPr>
            <w:tcW w:w="2400" w:type="dxa"/>
          </w:tcPr>
          <w:p>
            <w:r>
              <w:t xml:space="preserve">Limited quantity for validation</w:t>
            </w:r>
          </w:p>
        </w:tc>
      </w:tr>
      <w:tr>
        <w:tc>
          <w:tcPr>
            <w:tcW w:w="2400" w:type="dxa"/>
          </w:tcPr>
          <w:p>
            <w:r>
              <w:t xml:space="preserve">Supported stock</w:t>
            </w:r>
          </w:p>
        </w:tc>
        <w:tc>
          <w:tcPr>
            <w:tcW w:w="2400" w:type="dxa"/>
          </w:tcPr>
          <w:p>
            <w:r>
              <w:t xml:space="preserve">Products maintained due to recurring demand</w:t>
            </w:r>
          </w:p>
        </w:tc>
      </w:tr>
      <w:tr>
        <w:tc>
          <w:tcPr>
            <w:tcW w:w="2400" w:type="dxa"/>
          </w:tcPr>
          <w:p>
            <w:r>
              <w:t xml:space="preserve">Special order</w:t>
            </w:r>
          </w:p>
        </w:tc>
        <w:tc>
          <w:tcPr>
            <w:tcW w:w="2400" w:type="dxa"/>
          </w:tcPr>
          <w:p>
            <w:r>
              <w:t xml:space="preserve">Product ordered for a specific customer or project</w:t>
            </w:r>
          </w:p>
        </w:tc>
      </w:tr>
      <w:tr>
        <w:tc>
          <w:tcPr>
            <w:tcW w:w="2400" w:type="dxa"/>
          </w:tcPr>
          <w:p>
            <w:r>
              <w:t xml:space="preserve">Paused</w:t>
            </w:r>
          </w:p>
        </w:tc>
        <w:tc>
          <w:tcPr>
            <w:tcW w:w="2400" w:type="dxa"/>
          </w:tcPr>
          <w:p>
            <w:r>
              <w:t xml:space="preserve">Product temporarily removed from active availability</w:t>
            </w:r>
          </w:p>
        </w:tc>
      </w:tr>
    </w:tbl>
    <w:p>
      <w:r>
        <w:t xml:space="preserve">Karolina Tarasenko, Partner Network Development Specialist,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