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Appendix: Monthly Report Template</w:t>
      </w:r>
    </w:p>
    <w:p>
      <w:r>
        <w:t xml:space="preserve">Monthly report template used by the Partner to confirm sales and operational status.</w:t>
      </w:r>
    </w:p>
    <w:p>
      <w:r>
        <w:t xml:space="preserve">Working legal/commercial draft. This translated version is prepared for reading, download and local counsel review before use in the selected country.</w:t>
      </w:r>
    </w:p>
    <w:p>
      <w:pPr>
        <w:pStyle w:val="Heading2"/>
      </w:pPr>
      <w:r>
        <w:t xml:space="preserve">1. Reporting Period</w:t>
      </w:r>
    </w:p>
    <w:p>
      <w:r>
        <w:t xml:space="preserve">The Partner completes the month, location, responsible person and channel covered by the report.</w:t>
      </w:r>
    </w:p>
    <w:p>
      <w:pPr>
        <w:pStyle w:val="Heading2"/>
      </w:pPr>
      <w:r>
        <w:t xml:space="preserve">2. Sales and Stock</w:t>
      </w:r>
    </w:p>
    <w:p>
      <w:r>
        <w:t xml:space="preserve">Sales, stock levels, orders and product statuses should be completed in the table below.</w:t>
      </w:r>
    </w:p>
    <w:p>
      <w:pPr>
        <w:pStyle w:val="Heading2"/>
      </w:pPr>
      <w:r>
        <w:t xml:space="preserve">3. Confirmation</w:t>
      </w:r>
    </w:p>
    <w:p>
      <w:r>
        <w:t xml:space="preserve">The report is confirmed by the authorised person and used for monthly settlement.</w:t>
      </w:r>
    </w:p>
    <w:p>
      <w:pPr>
        <w:pStyle w:val="Heading2"/>
      </w:pPr>
      <w:r>
        <w:t xml:space="preserve">Country localisation matrix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Market</w:t>
            </w:r>
          </w:p>
        </w:tc>
        <w:tc>
          <w:tcPr>
            <w:tcW w:w="2400" w:type="dxa"/>
          </w:tcPr>
          <w:p>
            <w:r>
              <w:t xml:space="preserve">Adaptation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Use UK governing law and jurisdiction where applicable; review UK GDPR, PECR, product liability and B2B sale terms.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Use state-specific law and venue; review business opportunity/franchise triggers, earnings claims, warranty, sales tax and privacy rules.</w:t>
            </w:r>
          </w:p>
        </w:tc>
      </w:tr>
      <w:tr>
        <w:tc>
          <w:tcPr>
            <w:tcW w:w="2400" w:type="dxa"/>
          </w:tcPr>
          <w:p>
            <w:r>
              <w:t xml:space="preserve">Canada</w:t>
            </w:r>
          </w:p>
        </w:tc>
        <w:tc>
          <w:tcPr>
            <w:tcW w:w="2400" w:type="dxa"/>
          </w:tcPr>
          <w:p>
            <w:r>
              <w:t xml:space="preserve">Use province-specific law; review CASL, privacy, bilingual requirements where applicable, warranty, tax and product safety.</w:t>
            </w:r>
          </w:p>
        </w:tc>
      </w:tr>
      <w:tr>
        <w:tc>
          <w:tcPr>
            <w:tcW w:w="2400" w:type="dxa"/>
          </w:tcPr>
          <w:p>
            <w:r>
              <w:t xml:space="preserve">Australia</w:t>
            </w:r>
          </w:p>
        </w:tc>
        <w:tc>
          <w:tcPr>
            <w:tcW w:w="2400" w:type="dxa"/>
          </w:tcPr>
          <w:p>
            <w:r>
              <w:t xml:space="preserve">Review Australian Consumer Law, unfair contract terms, privacy, product safety, warranty, import and tax clauses.</w:t>
            </w:r>
          </w:p>
        </w:tc>
      </w:tr>
      <w:tr>
        <w:tc>
          <w:tcPr>
            <w:tcW w:w="2400" w:type="dxa"/>
          </w:tcPr>
          <w:p>
            <w:r>
              <w:t xml:space="preserve">South Africa</w:t>
            </w:r>
          </w:p>
        </w:tc>
        <w:tc>
          <w:tcPr>
            <w:tcW w:w="2400" w:type="dxa"/>
          </w:tcPr>
          <w:p>
            <w:r>
              <w:t xml:space="preserve">Review POPIA, electronic communications, Consumer Protection Act exposure, product liability, import, tax and dispute wording.</w:t>
            </w:r>
          </w:p>
        </w:tc>
      </w:tr>
      <w:tr>
        <w:tc>
          <w:tcPr>
            <w:tcW w:w="2400" w:type="dxa"/>
          </w:tcPr>
          <w:p>
            <w:r>
              <w:t xml:space="preserve">Germany</w:t>
            </w:r>
          </w:p>
        </w:tc>
        <w:tc>
          <w:tcPr>
            <w:tcW w:w="2400" w:type="dxa"/>
          </w:tcPr>
          <w:p>
            <w:r>
              <w:t xml:space="preserve">Use German-law drafting; review BGB/HGB, GDPR/BDSG, UWG marketing rules, warranty, retention of title and standard-term controls.</w:t>
            </w:r>
          </w:p>
        </w:tc>
      </w:tr>
      <w:tr>
        <w:tc>
          <w:tcPr>
            <w:tcW w:w="2400" w:type="dxa"/>
          </w:tcPr>
          <w:p>
            <w:r>
              <w:t xml:space="preserve">Austria</w:t>
            </w:r>
          </w:p>
        </w:tc>
        <w:tc>
          <w:tcPr>
            <w:tcW w:w="2400" w:type="dxa"/>
          </w:tcPr>
          <w:p>
            <w:r>
              <w:t xml:space="preserve">Use Austrian-law drafting; review ABGB/UGB, GDPR/DSG, UWG marketing rules, warranty, retention of title and standard-term controls.</w:t>
            </w:r>
          </w:p>
        </w:tc>
      </w:tr>
      <w:tr>
        <w:tc>
          <w:tcPr>
            <w:tcW w:w="2400" w:type="dxa"/>
          </w:tcPr>
          <w:p>
            <w:r>
              <w:t xml:space="preserve">Switzerland</w:t>
            </w:r>
          </w:p>
        </w:tc>
        <w:tc>
          <w:tcPr>
            <w:tcW w:w="2400" w:type="dxa"/>
          </w:tcPr>
          <w:p>
            <w:r>
              <w:t xml:space="preserve">Use Swiss-law drafting; review the Code of Obligations, revised FADP, competition rules, warranty and cross-border data transfers.</w:t>
            </w:r>
          </w:p>
        </w:tc>
      </w:tr>
    </w:tbl>
    <w:p>
      <w:pPr>
        <w:pStyle w:val="Heading2"/>
      </w:pPr>
      <w:r>
        <w:t xml:space="preserve">Local clauses before signature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To review before use</w:t>
            </w:r>
          </w:p>
        </w:tc>
      </w:tr>
      <w:tr>
        <w:tc>
          <w:tcPr>
            <w:tcW w:w="2400" w:type="dxa"/>
          </w:tcPr>
          <w:p>
            <w:r>
              <w:t xml:space="preserve">Governing law</w:t>
            </w:r>
          </w:p>
        </w:tc>
        <w:tc>
          <w:tcPr>
            <w:tcW w:w="2400" w:type="dxa"/>
          </w:tcPr>
          <w:p>
            <w:r>
              <w:t xml:space="preserve">Country, venue, language and dispute resolution</w:t>
            </w:r>
          </w:p>
        </w:tc>
      </w:tr>
      <w:tr>
        <w:tc>
          <w:tcPr>
            <w:tcW w:w="2400" w:type="dxa"/>
          </w:tcPr>
          <w:p>
            <w:r>
              <w:t xml:space="preserve">Privacy</w:t>
            </w:r>
          </w:p>
        </w:tc>
        <w:tc>
          <w:tcPr>
            <w:tcW w:w="2400" w:type="dxa"/>
          </w:tcPr>
          <w:p>
            <w:r>
              <w:t xml:space="preserve">Roles, notices, consent and data transfers</w:t>
            </w:r>
          </w:p>
        </w:tc>
      </w:tr>
      <w:tr>
        <w:tc>
          <w:tcPr>
            <w:tcW w:w="2400" w:type="dxa"/>
          </w:tcPr>
          <w:p>
            <w:r>
              <w:t xml:space="preserve">Product &amp; sales</w:t>
            </w:r>
          </w:p>
        </w:tc>
        <w:tc>
          <w:tcPr>
            <w:tcW w:w="2400" w:type="dxa"/>
          </w:tcPr>
          <w:p>
            <w:r>
              <w:t xml:space="preserve">Warranty, liability, safety, tax and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Electronic communication, claims, testimonials and pricing displays</w:t>
            </w:r>
          </w:p>
        </w:tc>
      </w:tr>
    </w:tbl>
    <w:p>
      <w:pPr>
        <w:pStyle w:val="Heading2"/>
      </w:pPr>
      <w:r>
        <w:t xml:space="preserve">Document table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Product</w:t>
            </w:r>
          </w:p>
        </w:tc>
        <w:tc>
          <w:tcPr>
            <w:tcW w:w="2400" w:type="dxa"/>
          </w:tcPr>
          <w:p>
            <w:r>
              <w:t xml:space="preserve">Opening stock</w:t>
            </w:r>
          </w:p>
        </w:tc>
        <w:tc>
          <w:tcPr>
            <w:tcW w:w="2400" w:type="dxa"/>
          </w:tcPr>
          <w:p>
            <w:r>
              <w:t xml:space="preserve">Sold</w:t>
            </w:r>
          </w:p>
        </w:tc>
        <w:tc>
          <w:tcPr>
            <w:tcW w:w="2400" w:type="dxa"/>
          </w:tcPr>
          <w:p>
            <w:r>
              <w:t xml:space="preserve">Returned</w:t>
            </w:r>
          </w:p>
        </w:tc>
        <w:tc>
          <w:tcPr>
            <w:tcW w:w="2400" w:type="dxa"/>
          </w:tcPr>
          <w:p>
            <w:r>
              <w:t xml:space="preserve">Closing stock</w:t>
            </w:r>
          </w:p>
        </w:tc>
        <w:tc>
          <w:tcPr>
            <w:tcW w:w="2400" w:type="dxa"/>
          </w:tcPr>
          <w:p>
            <w:r>
              <w:t xml:space="preserve">Comments</w:t>
            </w:r>
          </w:p>
        </w:tc>
      </w:tr>
      <w:tr>
        <w:tc>
          <w:tcPr>
            <w:tcW w:w="2400" w:type="dxa"/>
          </w:tcPr>
          <w:p>
            <w:r>
              <w:t xml:space="preserve">[Product]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[Notes]</w:t>
            </w:r>
          </w:p>
        </w:tc>
      </w:tr>
      <w:tr>
        <w:tc>
          <w:tcPr>
            <w:tcW w:w="2400" w:type="dxa"/>
          </w:tcPr>
          <w:p>
            <w:r>
              <w:t xml:space="preserve">[Product]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[Notes]</w:t>
            </w:r>
          </w:p>
        </w:tc>
      </w:tr>
    </w:tbl>
    <w:p>
      <w:r>
        <w:t xml:space="preserve">Karolina Tarasenko, Partner Network Development Specialist,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