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000000"/>
          <w:sz w:val="28"/>
        </w:rPr>
        <w:t>ZAŁĄCZNIK NR 13</w:t>
        <w:br/>
        <w:t>POLITYKA MARKI I KOMUNIKACJI SPRZEDAŻOWEJ FIXON</w:t>
      </w:r>
    </w:p>
    <w:p>
      <w:pPr>
        <w:spacing w:after="40"/>
        <w:jc w:val="both"/>
      </w:pPr>
      <w:r>
        <w:rPr>
          <w:rFonts w:ascii="Times New Roman" w:hAnsi="Times New Roman"/>
          <w:color w:val="000000"/>
          <w:sz w:val="17"/>
        </w:rPr>
        <w:t>Dokument określa zasady posługiwania się marką FIXON, materiałami marketingowymi, opisami produktów, komunikacją sprzedażową, argumentacją handlową, reklamami, publikacjami internetowymi oraz kontaktem z klientem w ramach Programu Partnerskiego FIXON. Dokument może być przekazywany Partnerowi w formie dokumentowej, elektronicznej lub jako część pakietu załączników programowych.</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948"/>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Pole</w:t>
            </w:r>
          </w:p>
        </w:tc>
        <w:tc>
          <w:tcPr>
            <w:tcW w:type="dxa" w:w="6690"/>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Treść do uzupełnienia</w:t>
            </w:r>
          </w:p>
        </w:tc>
      </w:tr>
      <w:tr>
        <w:tc>
          <w:tcPr>
            <w:tcW w:type="dxa" w:w="2948"/>
            <w:vAlign w:val="top"/>
          </w:tcPr>
          <w:p>
            <w:pPr>
              <w:spacing w:after="0" w:line="240" w:lineRule="auto"/>
            </w:pPr>
            <w:r>
              <w:rPr>
                <w:rFonts w:ascii="Times New Roman" w:hAnsi="Times New Roman"/>
                <w:color w:val="000000"/>
                <w:sz w:val="16"/>
              </w:rPr>
            </w:r>
            <w:r>
              <w:rPr>
                <w:rFonts w:ascii="Times New Roman" w:hAnsi="Times New Roman"/>
                <w:b w:val="0"/>
                <w:color w:val="000000"/>
                <w:sz w:val="16"/>
              </w:rPr>
              <w:t>Numer / wersja dokumentu</w:t>
            </w:r>
          </w:p>
        </w:tc>
        <w:tc>
          <w:tcPr>
            <w:tcW w:type="dxa" w:w="6690"/>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2948"/>
            <w:vAlign w:val="top"/>
          </w:tcPr>
          <w:p>
            <w:pPr>
              <w:spacing w:after="0" w:line="240" w:lineRule="auto"/>
            </w:pPr>
            <w:r>
              <w:rPr>
                <w:rFonts w:ascii="Times New Roman" w:hAnsi="Times New Roman"/>
                <w:color w:val="000000"/>
                <w:sz w:val="16"/>
              </w:rPr>
            </w:r>
            <w:r>
              <w:rPr>
                <w:rFonts w:ascii="Times New Roman" w:hAnsi="Times New Roman"/>
                <w:b w:val="0"/>
                <w:color w:val="000000"/>
                <w:sz w:val="16"/>
              </w:rPr>
              <w:t>Data dostarczenia Partnerowi</w:t>
            </w:r>
          </w:p>
        </w:tc>
        <w:tc>
          <w:tcPr>
            <w:tcW w:type="dxa" w:w="6690"/>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2948"/>
            <w:vAlign w:val="top"/>
          </w:tcPr>
          <w:p>
            <w:pPr>
              <w:spacing w:after="0" w:line="240" w:lineRule="auto"/>
            </w:pPr>
            <w:r>
              <w:rPr>
                <w:rFonts w:ascii="Times New Roman" w:hAnsi="Times New Roman"/>
                <w:color w:val="000000"/>
                <w:sz w:val="16"/>
              </w:rPr>
            </w:r>
            <w:r>
              <w:rPr>
                <w:rFonts w:ascii="Times New Roman" w:hAnsi="Times New Roman"/>
                <w:b w:val="0"/>
                <w:color w:val="000000"/>
                <w:sz w:val="16"/>
              </w:rPr>
              <w:t>Partner</w:t>
            </w:r>
          </w:p>
        </w:tc>
        <w:tc>
          <w:tcPr>
            <w:tcW w:type="dxa" w:w="6690"/>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2948"/>
            <w:vAlign w:val="top"/>
          </w:tcPr>
          <w:p>
            <w:pPr>
              <w:spacing w:after="0" w:line="240" w:lineRule="auto"/>
            </w:pPr>
            <w:r>
              <w:rPr>
                <w:rFonts w:ascii="Times New Roman" w:hAnsi="Times New Roman"/>
                <w:color w:val="000000"/>
                <w:sz w:val="16"/>
              </w:rPr>
            </w:r>
            <w:r>
              <w:rPr>
                <w:rFonts w:ascii="Times New Roman" w:hAnsi="Times New Roman"/>
                <w:b w:val="0"/>
                <w:color w:val="000000"/>
                <w:sz w:val="16"/>
              </w:rPr>
              <w:t>Osoba odpowiedzialna po stronie Partnera</w:t>
            </w:r>
          </w:p>
        </w:tc>
        <w:tc>
          <w:tcPr>
            <w:tcW w:type="dxa" w:w="6690"/>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2948"/>
            <w:vAlign w:val="top"/>
          </w:tcPr>
          <w:p>
            <w:pPr>
              <w:spacing w:after="0" w:line="240" w:lineRule="auto"/>
            </w:pPr>
            <w:r>
              <w:rPr>
                <w:rFonts w:ascii="Times New Roman" w:hAnsi="Times New Roman"/>
                <w:color w:val="000000"/>
                <w:sz w:val="16"/>
              </w:rPr>
            </w:r>
            <w:r>
              <w:rPr>
                <w:rFonts w:ascii="Times New Roman" w:hAnsi="Times New Roman"/>
                <w:b w:val="0"/>
                <w:color w:val="000000"/>
                <w:sz w:val="16"/>
              </w:rPr>
              <w:t>Pośrednik prowadzący współpracę</w:t>
            </w:r>
          </w:p>
        </w:tc>
        <w:tc>
          <w:tcPr>
            <w:tcW w:type="dxa" w:w="6690"/>
            <w:vAlign w:val="top"/>
          </w:tcPr>
          <w:p>
            <w:pPr>
              <w:spacing w:after="0" w:line="240" w:lineRule="auto"/>
            </w:pPr>
            <w:r>
              <w:rPr>
                <w:rFonts w:ascii="Times New Roman" w:hAnsi="Times New Roman"/>
                <w:color w:val="000000"/>
                <w:sz w:val="16"/>
              </w:rPr>
            </w:r>
            <w:r>
              <w:rPr>
                <w:rFonts w:ascii="Times New Roman" w:hAnsi="Times New Roman"/>
                <w:b w:val="0"/>
                <w:color w:val="000000"/>
                <w:sz w:val="16"/>
              </w:rPr>
              <w:t>JHB FAMILY sp. z o.o. / ........................................................</w:t>
            </w:r>
          </w:p>
        </w:tc>
      </w:tr>
    </w:tbl>
    <w:p>
      <w:pPr>
        <w:spacing w:before="160" w:after="80"/>
        <w:jc w:val="center"/>
      </w:pPr>
      <w:r>
        <w:rPr>
          <w:rFonts w:ascii="Times New Roman" w:hAnsi="Times New Roman"/>
          <w:b/>
          <w:color w:val="000000"/>
          <w:sz w:val="24"/>
        </w:rPr>
        <w:t>§ 1. Cel dokumentu i zakres stosowania</w:t>
      </w:r>
    </w:p>
    <w:p>
      <w:pPr>
        <w:spacing w:after="60" w:line="247" w:lineRule="auto"/>
        <w:ind w:firstLine="283"/>
        <w:jc w:val="both"/>
      </w:pPr>
      <w:r>
        <w:rPr>
          <w:rFonts w:ascii="Times New Roman" w:hAnsi="Times New Roman"/>
          <w:color w:val="000000"/>
          <w:sz w:val="19"/>
        </w:rPr>
        <w:t>1. Niniejsza Polityka Marki i Komunikacji Sprzedażowej FIXON określa zasady, których Partner powinien przestrzegać przy prezentowaniu, promowaniu i sprzedaży produktów FIXON, niezależnie od tego, czy komunikacja odbywa się w placówce handlowej, w terenie, telefonicznie, mailowo, przez przedstawiciela handlowego, w katalogu, e-katalogu, systemie B2B, mediach społecznościowych, reklamie płatnej, na stronie internetowej, podczas targów, pokazów, demonstracji albo w rozmowie bezpośredniej z wykonawcą.</w:t>
      </w:r>
    </w:p>
    <w:p>
      <w:pPr>
        <w:spacing w:after="60" w:line="247" w:lineRule="auto"/>
        <w:ind w:firstLine="283"/>
        <w:jc w:val="both"/>
      </w:pPr>
      <w:r>
        <w:rPr>
          <w:rFonts w:ascii="Times New Roman" w:hAnsi="Times New Roman"/>
          <w:color w:val="000000"/>
          <w:sz w:val="19"/>
        </w:rPr>
        <w:t>2. Celem dokumentu jest ochrona wartości marki FIXON, zachowanie spójności przekazu, ograniczenie ryzyka błędnych obietnic sprzedażowych, wsparcie handlowców Partnera w skutecznej argumentacji oraz zapewnienie, że produkty FIXON są przedstawiane jako profesjonalne narzędzia dla branży brukarskiej i budowlanej, a nie jako przypadkowy dodatek katalogowy.</w:t>
      </w:r>
    </w:p>
    <w:p>
      <w:pPr>
        <w:spacing w:after="60" w:line="247" w:lineRule="auto"/>
        <w:ind w:firstLine="283"/>
        <w:jc w:val="both"/>
      </w:pPr>
      <w:r>
        <w:rPr>
          <w:rFonts w:ascii="Times New Roman" w:hAnsi="Times New Roman"/>
          <w:color w:val="000000"/>
          <w:sz w:val="19"/>
        </w:rPr>
        <w:t>3. Polityka obejmuje w szczególności używanie nazwy i oznaczeń FIXON, opis produktów, komunikację korzyści, komunikację ceny i rabatów, porównania z konkurencją, materiały własne Partnera, treści publikowane w Internecie, zasady odpowiedzi na pytania klientów, kontakt z wykonawcami oraz komunikację w sytuacjach reklamacyjnych, spornych albo kryzysowych.</w:t>
      </w:r>
    </w:p>
    <w:p>
      <w:pPr>
        <w:spacing w:before="160" w:after="80"/>
        <w:jc w:val="center"/>
      </w:pPr>
      <w:r>
        <w:rPr>
          <w:rFonts w:ascii="Times New Roman" w:hAnsi="Times New Roman"/>
          <w:b/>
          <w:color w:val="000000"/>
          <w:sz w:val="24"/>
        </w:rPr>
        <w:t>§ 2. Podstawowe pozycjonowanie marki FIXON</w:t>
      </w:r>
    </w:p>
    <w:p>
      <w:pPr>
        <w:spacing w:after="60" w:line="247" w:lineRule="auto"/>
        <w:ind w:firstLine="283"/>
        <w:jc w:val="both"/>
      </w:pPr>
      <w:r>
        <w:rPr>
          <w:rFonts w:ascii="Times New Roman" w:hAnsi="Times New Roman"/>
          <w:color w:val="000000"/>
          <w:sz w:val="19"/>
        </w:rPr>
        <w:t>1. Marka FIXON powinna być komunikowana jako polska marka profesjonalnych narzędzi dla branży brukarskiej i budowlanej, skoncentrowana na realnym usprawnieniu pracy wykonawców, odciążeniu pracowników fizycznych, poprawie precyzji oraz ograniczeniu prowizorycznych rozwiązań stosowanych na budowie.</w:t>
      </w:r>
    </w:p>
    <w:p>
      <w:pPr>
        <w:spacing w:after="60" w:line="247" w:lineRule="auto"/>
        <w:ind w:firstLine="283"/>
        <w:jc w:val="both"/>
      </w:pPr>
      <w:r>
        <w:rPr>
          <w:rFonts w:ascii="Times New Roman" w:hAnsi="Times New Roman"/>
          <w:color w:val="000000"/>
          <w:sz w:val="19"/>
        </w:rPr>
        <w:t>2. Podstawowy kierunek komunikacji sprzedażowej powinien akcentować praktyczną wartość narzędzi: mniej zbędnego schylania, łatwiejsze chwytanie i przenoszenie elementów, szybszą powtarzalną pracę, większą kontrolę nad ułożeniem i profilowaniem, mniejsze zużycie improwizowanych rozwiązań oraz większy porządek w procesie wykonawczym.</w:t>
      </w:r>
    </w:p>
    <w:p>
      <w:pPr>
        <w:spacing w:after="60" w:line="247" w:lineRule="auto"/>
        <w:ind w:firstLine="283"/>
        <w:jc w:val="both"/>
      </w:pPr>
      <w:r>
        <w:rPr>
          <w:rFonts w:ascii="Times New Roman" w:hAnsi="Times New Roman"/>
          <w:color w:val="000000"/>
          <w:sz w:val="19"/>
        </w:rPr>
        <w:t>3. W komunikacji należy unikać przedstawiania produktów FIXON jako gadżetów, akcesoriów pobocznych albo produktów wyłącznie promocyjnych. Produkty powinny być prezentowane jako narzędzia wspierające codzienną pracę ekipy, szczególnie tam, gdzie powtarzalne małe czynności zabierają czas, obciążają pracowników i wpływają na tempo realizacji zlecenia.</w:t>
      </w:r>
    </w:p>
    <w:p>
      <w:pPr>
        <w:spacing w:after="60" w:line="247" w:lineRule="auto"/>
        <w:ind w:firstLine="283"/>
        <w:jc w:val="both"/>
      </w:pPr>
      <w:r>
        <w:rPr>
          <w:rFonts w:ascii="Times New Roman" w:hAnsi="Times New Roman"/>
          <w:color w:val="000000"/>
          <w:sz w:val="19"/>
        </w:rPr>
        <w:t>4. Dopuszczalne jest podkreślanie, że wiele produktów FIXON uzupełnia lukę rynkową albo zastępuje rozwiązania prowizoryczne, pod warunkiem że komunikat nie sugeruje nieistniejących badań, certyfikatów, gwarantowanych wyników ani automatycznego zwiększenia zysku klienta.</w:t>
      </w:r>
    </w:p>
    <w:p>
      <w:pPr>
        <w:spacing w:before="160" w:after="80"/>
        <w:jc w:val="center"/>
      </w:pPr>
      <w:r>
        <w:rPr>
          <w:rFonts w:ascii="Times New Roman" w:hAnsi="Times New Roman"/>
          <w:b/>
          <w:color w:val="000000"/>
          <w:sz w:val="24"/>
        </w:rPr>
        <w:t>§ 3. Dozwolone główne komunikaty sprzedażowe</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701"/>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Obszar</w:t>
            </w:r>
          </w:p>
        </w:tc>
        <w:tc>
          <w:tcPr>
            <w:tcW w:type="dxa" w:w="3515"/>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Dozwolony kierunek komunikacji</w:t>
            </w:r>
          </w:p>
        </w:tc>
        <w:tc>
          <w:tcPr>
            <w:tcW w:type="dxa" w:w="4422"/>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Przykład bezpiecznego sformułowania</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Odciążenie pracy</w:t>
            </w:r>
          </w:p>
        </w:tc>
        <w:tc>
          <w:tcPr>
            <w:tcW w:type="dxa" w:w="3515"/>
            <w:vAlign w:val="top"/>
          </w:tcPr>
          <w:p>
            <w:pPr>
              <w:spacing w:after="0" w:line="240" w:lineRule="auto"/>
            </w:pPr>
            <w:r>
              <w:rPr>
                <w:rFonts w:ascii="Times New Roman" w:hAnsi="Times New Roman"/>
                <w:color w:val="000000"/>
                <w:sz w:val="16"/>
              </w:rPr>
            </w:r>
            <w:r>
              <w:rPr>
                <w:rFonts w:ascii="Times New Roman" w:hAnsi="Times New Roman"/>
                <w:b w:val="0"/>
                <w:color w:val="000000"/>
                <w:sz w:val="16"/>
              </w:rPr>
              <w:t>Podkreślanie mniejszego obciążenia przy czynnościach powtarzalnych.</w:t>
            </w:r>
          </w:p>
        </w:tc>
        <w:tc>
          <w:tcPr>
            <w:tcW w:type="dxa" w:w="4422"/>
            <w:vAlign w:val="top"/>
          </w:tcPr>
          <w:p>
            <w:pPr>
              <w:spacing w:after="0" w:line="240" w:lineRule="auto"/>
            </w:pPr>
            <w:r>
              <w:rPr>
                <w:rFonts w:ascii="Times New Roman" w:hAnsi="Times New Roman"/>
                <w:color w:val="000000"/>
                <w:sz w:val="16"/>
              </w:rPr>
            </w:r>
            <w:r>
              <w:rPr>
                <w:rFonts w:ascii="Times New Roman" w:hAnsi="Times New Roman"/>
                <w:b w:val="0"/>
                <w:color w:val="000000"/>
                <w:sz w:val="16"/>
              </w:rPr>
              <w:t>Narzędzie pomaga ograniczyć część zbędnych ruchów i ułatwia powtarzalną pracę przy kostce lub elementach budowlanych.</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Tempo pracy</w:t>
            </w:r>
          </w:p>
        </w:tc>
        <w:tc>
          <w:tcPr>
            <w:tcW w:type="dxa" w:w="3515"/>
            <w:vAlign w:val="top"/>
          </w:tcPr>
          <w:p>
            <w:pPr>
              <w:spacing w:after="0" w:line="240" w:lineRule="auto"/>
            </w:pPr>
            <w:r>
              <w:rPr>
                <w:rFonts w:ascii="Times New Roman" w:hAnsi="Times New Roman"/>
                <w:color w:val="000000"/>
                <w:sz w:val="16"/>
              </w:rPr>
            </w:r>
            <w:r>
              <w:rPr>
                <w:rFonts w:ascii="Times New Roman" w:hAnsi="Times New Roman"/>
                <w:b w:val="0"/>
                <w:color w:val="000000"/>
                <w:sz w:val="16"/>
              </w:rPr>
              <w:t>Komunikowanie usprawnienia organizacji pracy, bez gwarantowania konkretnego procentu.</w:t>
            </w:r>
          </w:p>
        </w:tc>
        <w:tc>
          <w:tcPr>
            <w:tcW w:type="dxa" w:w="4422"/>
            <w:vAlign w:val="top"/>
          </w:tcPr>
          <w:p>
            <w:pPr>
              <w:spacing w:after="0" w:line="240" w:lineRule="auto"/>
            </w:pPr>
            <w:r>
              <w:rPr>
                <w:rFonts w:ascii="Times New Roman" w:hAnsi="Times New Roman"/>
                <w:color w:val="000000"/>
                <w:sz w:val="16"/>
              </w:rPr>
            </w:r>
            <w:r>
              <w:rPr>
                <w:rFonts w:ascii="Times New Roman" w:hAnsi="Times New Roman"/>
                <w:b w:val="0"/>
                <w:color w:val="000000"/>
                <w:sz w:val="16"/>
              </w:rPr>
              <w:t>W wielu pracach pozwala szybciej wykonywać powtarzalne czynności i lepiej utrzymać rytm pracy ekipy.</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Precyzja</w:t>
            </w:r>
          </w:p>
        </w:tc>
        <w:tc>
          <w:tcPr>
            <w:tcW w:type="dxa" w:w="3515"/>
            <w:vAlign w:val="top"/>
          </w:tcPr>
          <w:p>
            <w:pPr>
              <w:spacing w:after="0" w:line="240" w:lineRule="auto"/>
            </w:pPr>
            <w:r>
              <w:rPr>
                <w:rFonts w:ascii="Times New Roman" w:hAnsi="Times New Roman"/>
                <w:color w:val="000000"/>
                <w:sz w:val="16"/>
              </w:rPr>
            </w:r>
            <w:r>
              <w:rPr>
                <w:rFonts w:ascii="Times New Roman" w:hAnsi="Times New Roman"/>
                <w:b w:val="0"/>
                <w:color w:val="000000"/>
                <w:sz w:val="16"/>
              </w:rPr>
              <w:t>Podkreślanie kontroli, powtarzalności i wygody ustawienia.</w:t>
            </w:r>
          </w:p>
        </w:tc>
        <w:tc>
          <w:tcPr>
            <w:tcW w:type="dxa" w:w="4422"/>
            <w:vAlign w:val="top"/>
          </w:tcPr>
          <w:p>
            <w:pPr>
              <w:spacing w:after="0" w:line="240" w:lineRule="auto"/>
            </w:pPr>
            <w:r>
              <w:rPr>
                <w:rFonts w:ascii="Times New Roman" w:hAnsi="Times New Roman"/>
                <w:color w:val="000000"/>
                <w:sz w:val="16"/>
              </w:rPr>
            </w:r>
            <w:r>
              <w:rPr>
                <w:rFonts w:ascii="Times New Roman" w:hAnsi="Times New Roman"/>
                <w:b w:val="0"/>
                <w:color w:val="000000"/>
                <w:sz w:val="16"/>
              </w:rPr>
              <w:t>Narzędzie pomaga pracować dokładniej i ograniczać improwizację na etapie profilowania albo ustawiania elementów.</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Profesjonalizacja</w:t>
            </w:r>
          </w:p>
        </w:tc>
        <w:tc>
          <w:tcPr>
            <w:tcW w:type="dxa" w:w="3515"/>
            <w:vAlign w:val="top"/>
          </w:tcPr>
          <w:p>
            <w:pPr>
              <w:spacing w:after="0" w:line="240" w:lineRule="auto"/>
            </w:pPr>
            <w:r>
              <w:rPr>
                <w:rFonts w:ascii="Times New Roman" w:hAnsi="Times New Roman"/>
                <w:color w:val="000000"/>
                <w:sz w:val="16"/>
              </w:rPr>
            </w:r>
            <w:r>
              <w:rPr>
                <w:rFonts w:ascii="Times New Roman" w:hAnsi="Times New Roman"/>
                <w:b w:val="0"/>
                <w:color w:val="000000"/>
                <w:sz w:val="16"/>
              </w:rPr>
              <w:t>Pokazywanie przewagi narzędzia nad rozwiązaniami dorabianymi na budowie.</w:t>
            </w:r>
          </w:p>
        </w:tc>
        <w:tc>
          <w:tcPr>
            <w:tcW w:type="dxa" w:w="4422"/>
            <w:vAlign w:val="top"/>
          </w:tcPr>
          <w:p>
            <w:pPr>
              <w:spacing w:after="0" w:line="240" w:lineRule="auto"/>
            </w:pPr>
            <w:r>
              <w:rPr>
                <w:rFonts w:ascii="Times New Roman" w:hAnsi="Times New Roman"/>
                <w:color w:val="000000"/>
                <w:sz w:val="16"/>
              </w:rPr>
            </w:r>
            <w:r>
              <w:rPr>
                <w:rFonts w:ascii="Times New Roman" w:hAnsi="Times New Roman"/>
                <w:b w:val="0"/>
                <w:color w:val="000000"/>
                <w:sz w:val="16"/>
              </w:rPr>
              <w:t>Zamiast prowizorycznych rozwiązań wykonawca dostaje gotowe narzędzie zaprojektowane do konkretnego zadania.</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Jakość wykonania</w:t>
            </w:r>
          </w:p>
        </w:tc>
        <w:tc>
          <w:tcPr>
            <w:tcW w:type="dxa" w:w="3515"/>
            <w:vAlign w:val="top"/>
          </w:tcPr>
          <w:p>
            <w:pPr>
              <w:spacing w:after="0" w:line="240" w:lineRule="auto"/>
            </w:pPr>
            <w:r>
              <w:rPr>
                <w:rFonts w:ascii="Times New Roman" w:hAnsi="Times New Roman"/>
                <w:color w:val="000000"/>
                <w:sz w:val="16"/>
              </w:rPr>
            </w:r>
            <w:r>
              <w:rPr>
                <w:rFonts w:ascii="Times New Roman" w:hAnsi="Times New Roman"/>
                <w:b w:val="0"/>
                <w:color w:val="000000"/>
                <w:sz w:val="16"/>
              </w:rPr>
              <w:t>Informowanie o materiale i solidności, jeżeli jest zgodne z kartą produktu.</w:t>
            </w:r>
          </w:p>
        </w:tc>
        <w:tc>
          <w:tcPr>
            <w:tcW w:type="dxa" w:w="4422"/>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Produkt wykonany jest ze stali nierdzewnej i przeznaczony do profesjonalnego użytkowania.</w:t>
            </w:r>
          </w:p>
        </w:tc>
      </w:tr>
    </w:tbl>
    <w:p>
      <w:pPr>
        <w:spacing w:before="160" w:after="80"/>
        <w:jc w:val="center"/>
      </w:pPr>
      <w:r>
        <w:rPr>
          <w:rFonts w:ascii="Times New Roman" w:hAnsi="Times New Roman"/>
          <w:b/>
          <w:color w:val="000000"/>
          <w:sz w:val="24"/>
        </w:rPr>
        <w:t>§ 4. Zakazane lub wymagające ostrożności komunikaty</w:t>
      </w:r>
    </w:p>
    <w:p>
      <w:pPr>
        <w:spacing w:after="60" w:line="247" w:lineRule="auto"/>
        <w:ind w:firstLine="283"/>
        <w:jc w:val="both"/>
      </w:pPr>
      <w:r>
        <w:rPr>
          <w:rFonts w:ascii="Times New Roman" w:hAnsi="Times New Roman"/>
          <w:color w:val="000000"/>
          <w:sz w:val="19"/>
        </w:rPr>
        <w:t>1. Partner nie powinien używać sformułowań, które mogłyby wprowadzać klienta w błąd co do cech produktu, efektów użycia, gwarantowanego czasu pracy, oszczędności, bezpieczeństwa, odporności, certyfikacji, wyłączności, pochodzenia albo warunków handlowych.</w:t>
      </w:r>
    </w:p>
    <w:p>
      <w:pPr>
        <w:spacing w:after="60" w:line="247" w:lineRule="auto"/>
        <w:ind w:firstLine="283"/>
        <w:jc w:val="both"/>
      </w:pPr>
      <w:r>
        <w:rPr>
          <w:rFonts w:ascii="Times New Roman" w:hAnsi="Times New Roman"/>
          <w:color w:val="000000"/>
          <w:sz w:val="19"/>
        </w:rPr>
        <w:t>2. Zabronione jest składanie obietnic typu: „gwarantuje dwukrotnie szybszą pracę”, „eliminuje zmęczenie”, „nie da się uszkodzić”, „najlepszy produkt na rynku”, „jedyny taki produkt”, „zawsze obniża koszty robocizny”, jeżeli Partner nie posiada zatwierdzonego przez Dostawcę materiału potwierdzającego taki komunikat.</w:t>
      </w:r>
    </w:p>
    <w:p>
      <w:pPr>
        <w:spacing w:after="60" w:line="247" w:lineRule="auto"/>
        <w:ind w:firstLine="283"/>
        <w:jc w:val="both"/>
      </w:pPr>
      <w:r>
        <w:rPr>
          <w:rFonts w:ascii="Times New Roman" w:hAnsi="Times New Roman"/>
          <w:color w:val="000000"/>
          <w:sz w:val="19"/>
        </w:rPr>
        <w:t>3. Partner nie powinien samodzielnie deklarować parametrów technicznych, udźwigu, odporności, przeznaczenia, kompatybilności, zasad gwarancji ani sposobu użytkowania inaczej niż wynika to z karty produktu, instrukcji, cennika, katalogu lub pisemnej informacji Dostawcy.</w:t>
      </w:r>
    </w:p>
    <w:p>
      <w:pPr>
        <w:spacing w:after="60" w:line="247" w:lineRule="auto"/>
        <w:ind w:firstLine="283"/>
        <w:jc w:val="both"/>
      </w:pPr>
      <w:r>
        <w:rPr>
          <w:rFonts w:ascii="Times New Roman" w:hAnsi="Times New Roman"/>
          <w:color w:val="000000"/>
          <w:sz w:val="19"/>
        </w:rPr>
        <w:t>4. W komunikacji należy unikać tonu obraźliwego wobec wykonawców, konkurencji, innych partnerów, producentów materiałów, hurtowni lub dystrybutorów. Marka FIXON może być komunikowana dynamicznie i konkretnie, ale nie przez dyskredytowanie rynku ani agresywne atakowanie innych podmiotów.</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4536"/>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Nie używać</w:t>
            </w:r>
          </w:p>
        </w:tc>
        <w:tc>
          <w:tcPr>
            <w:tcW w:type="dxa" w:w="5103"/>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Lepsza wersja</w:t>
            </w:r>
          </w:p>
        </w:tc>
      </w:tr>
      <w:tr>
        <w:tc>
          <w:tcPr>
            <w:tcW w:type="dxa" w:w="4536"/>
            <w:vAlign w:val="top"/>
          </w:tcPr>
          <w:p>
            <w:pPr>
              <w:spacing w:after="0" w:line="240" w:lineRule="auto"/>
            </w:pPr>
            <w:r>
              <w:rPr>
                <w:rFonts w:ascii="Times New Roman" w:hAnsi="Times New Roman"/>
                <w:color w:val="000000"/>
                <w:sz w:val="16"/>
              </w:rPr>
            </w:r>
            <w:r>
              <w:rPr>
                <w:rFonts w:ascii="Times New Roman" w:hAnsi="Times New Roman"/>
                <w:b w:val="0"/>
                <w:color w:val="000000"/>
                <w:sz w:val="16"/>
              </w:rPr>
              <w:t>Ten produkt sprawi, że ekipa będzie pracować dwa razy szybciej.</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Produkt może usprawnić część powtarzalnych czynności i pomóc ekipie utrzymać lepsze tempo pracy.</w:t>
            </w:r>
          </w:p>
        </w:tc>
      </w:tr>
      <w:tr>
        <w:tc>
          <w:tcPr>
            <w:tcW w:type="dxa" w:w="4536"/>
            <w:vAlign w:val="top"/>
          </w:tcPr>
          <w:p>
            <w:pPr>
              <w:spacing w:after="0" w:line="240" w:lineRule="auto"/>
            </w:pPr>
            <w:r>
              <w:rPr>
                <w:rFonts w:ascii="Times New Roman" w:hAnsi="Times New Roman"/>
                <w:color w:val="000000"/>
                <w:sz w:val="16"/>
              </w:rPr>
            </w:r>
            <w:r>
              <w:rPr>
                <w:rFonts w:ascii="Times New Roman" w:hAnsi="Times New Roman"/>
                <w:b w:val="0"/>
                <w:color w:val="000000"/>
                <w:sz w:val="16"/>
              </w:rPr>
              <w:t>To narzędzie całkowicie eliminuje zmęczenie.</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Narzędzie pomaga ograniczyć część obciążających ruchów i poprawia komfort pracy przy powtarzalnych czynnościach.</w:t>
            </w:r>
          </w:p>
        </w:tc>
      </w:tr>
      <w:tr>
        <w:tc>
          <w:tcPr>
            <w:tcW w:type="dxa" w:w="4536"/>
            <w:vAlign w:val="top"/>
          </w:tcPr>
          <w:p>
            <w:pPr>
              <w:spacing w:after="0" w:line="240" w:lineRule="auto"/>
            </w:pPr>
            <w:r>
              <w:rPr>
                <w:rFonts w:ascii="Times New Roman" w:hAnsi="Times New Roman"/>
                <w:color w:val="000000"/>
                <w:sz w:val="16"/>
              </w:rPr>
            </w:r>
            <w:r>
              <w:rPr>
                <w:rFonts w:ascii="Times New Roman" w:hAnsi="Times New Roman"/>
                <w:b w:val="0"/>
                <w:color w:val="000000"/>
                <w:sz w:val="16"/>
              </w:rPr>
              <w:t>Konkurencja nie ma nic podobnego.</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Produkt odpowiada na praktyczną potrzebę, którą wykonawcy często rozwiązują prowizorycznie.</w:t>
            </w:r>
          </w:p>
        </w:tc>
      </w:tr>
      <w:tr>
        <w:tc>
          <w:tcPr>
            <w:tcW w:type="dxa" w:w="4536"/>
            <w:vAlign w:val="top"/>
          </w:tcPr>
          <w:p>
            <w:pPr>
              <w:spacing w:after="0" w:line="240" w:lineRule="auto"/>
            </w:pPr>
            <w:r>
              <w:rPr>
                <w:rFonts w:ascii="Times New Roman" w:hAnsi="Times New Roman"/>
                <w:color w:val="000000"/>
                <w:sz w:val="16"/>
              </w:rPr>
            </w:r>
            <w:r>
              <w:rPr>
                <w:rFonts w:ascii="Times New Roman" w:hAnsi="Times New Roman"/>
                <w:b w:val="0"/>
                <w:color w:val="000000"/>
                <w:sz w:val="16"/>
              </w:rPr>
              <w:t>Najtańsze i najlepsze na rynku.</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Bardzo korzystny stosunek jakości wykonania, trwałości i ceny katalogowej.</w:t>
            </w:r>
          </w:p>
        </w:tc>
      </w:tr>
      <w:tr>
        <w:tc>
          <w:tcPr>
            <w:tcW w:type="dxa" w:w="4536"/>
            <w:vAlign w:val="top"/>
          </w:tcPr>
          <w:p>
            <w:pPr>
              <w:spacing w:after="0" w:line="240" w:lineRule="auto"/>
            </w:pPr>
            <w:r>
              <w:rPr>
                <w:rFonts w:ascii="Times New Roman" w:hAnsi="Times New Roman"/>
                <w:color w:val="000000"/>
                <w:sz w:val="16"/>
              </w:rPr>
            </w:r>
            <w:r>
              <w:rPr>
                <w:rFonts w:ascii="Times New Roman" w:hAnsi="Times New Roman"/>
                <w:b w:val="0"/>
                <w:color w:val="000000"/>
                <w:sz w:val="16"/>
              </w:rPr>
              <w:t>Kup teraz, bo później nie będzie dostępne.</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Dostępność produktów zależy od aktualnych stanów i terminów wskazanych w dokumentach programowych.</w:t>
            </w:r>
          </w:p>
        </w:tc>
      </w:tr>
    </w:tbl>
    <w:p>
      <w:pPr>
        <w:spacing w:before="160" w:after="80"/>
        <w:jc w:val="center"/>
      </w:pPr>
      <w:r>
        <w:rPr>
          <w:rFonts w:ascii="Times New Roman" w:hAnsi="Times New Roman"/>
          <w:b/>
          <w:color w:val="000000"/>
          <w:sz w:val="24"/>
        </w:rPr>
        <w:t>§ 5. Język rozmowy handlowej</w:t>
      </w:r>
    </w:p>
    <w:p>
      <w:pPr>
        <w:spacing w:after="60" w:line="247" w:lineRule="auto"/>
        <w:ind w:firstLine="283"/>
        <w:jc w:val="both"/>
      </w:pPr>
      <w:r>
        <w:rPr>
          <w:rFonts w:ascii="Times New Roman" w:hAnsi="Times New Roman"/>
          <w:color w:val="000000"/>
          <w:sz w:val="19"/>
        </w:rPr>
        <w:t>1. Komunikacja sprzedażowa powinna zaczynać się od problemu klienta, a nie od samej listy produktów. Handlowiec powinien najpierw ustalić, z jakimi czynnościami klient ma największy problem: chwytanie i przenoszenie elementów, powtarzalne schylanie, poziomowanie, profilowanie, organizacja stanowiska, praca przy większych formatach, obsługa kilku osób w ekipie albo potrzeba pokazania narzędzia przed zakupem.</w:t>
      </w:r>
    </w:p>
    <w:p>
      <w:pPr>
        <w:spacing w:after="60" w:line="247" w:lineRule="auto"/>
        <w:ind w:firstLine="283"/>
        <w:jc w:val="both"/>
      </w:pPr>
      <w:r>
        <w:rPr>
          <w:rFonts w:ascii="Times New Roman" w:hAnsi="Times New Roman"/>
          <w:color w:val="000000"/>
          <w:sz w:val="19"/>
        </w:rPr>
        <w:t>2. Podstawowa struktura rozmowy rekomendowana przez FIXON: diagnoza pracy klienta, wskazanie miejsca straty czasu albo obciążenia, pokazanie narzędzia jako rozwiązania konkretnego zadania, wyjaśnienie sposobu użycia, przedstawienie ceny i dostępności, zaproponowanie zakupu albo testu, a przy większych zamówieniach skierowanie do osoby odpowiedzialnej lub Centrum Demonstracyjnego.</w:t>
      </w:r>
    </w:p>
    <w:p>
      <w:pPr>
        <w:spacing w:after="60" w:line="247" w:lineRule="auto"/>
        <w:ind w:firstLine="283"/>
        <w:jc w:val="both"/>
      </w:pPr>
      <w:r>
        <w:rPr>
          <w:rFonts w:ascii="Times New Roman" w:hAnsi="Times New Roman"/>
          <w:color w:val="000000"/>
          <w:sz w:val="19"/>
        </w:rPr>
        <w:t>3. Handlowiec nie powinien prowadzić rozmowy wyłącznie językiem katalogowym. Produkty FIXON najlepiej sprzedają się przez odniesienie do realnej sytuacji budowlanej: powtarzalnego podnoszenia, poprawiania, mierzenia, przenoszenia, profilowania i organizowania pracy wokół materiału.</w:t>
      </w:r>
    </w:p>
    <w:p>
      <w:pPr>
        <w:spacing w:after="60" w:line="247" w:lineRule="auto"/>
        <w:ind w:firstLine="283"/>
        <w:jc w:val="both"/>
      </w:pPr>
      <w:r>
        <w:rPr>
          <w:rFonts w:ascii="Times New Roman" w:hAnsi="Times New Roman"/>
          <w:color w:val="000000"/>
          <w:sz w:val="19"/>
        </w:rPr>
        <w:t>4. W rozmowie z wykonawcą dopuszczalny jest język prosty, energiczny i praktyczny, jednak bez wulgarności, presji, dezinformacji oraz obietnic niezatwierdzonych przez Dostawcę. Komunikacja powinna brzmieć jak rozmowa z profesjonalistą, a nie jak sprzedaż przypadkowego produktu promocyjnego.</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701"/>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Etap rozmowy</w:t>
            </w:r>
          </w:p>
        </w:tc>
        <w:tc>
          <w:tcPr>
            <w:tcW w:type="dxa" w:w="2835"/>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Cel</w:t>
            </w:r>
          </w:p>
        </w:tc>
        <w:tc>
          <w:tcPr>
            <w:tcW w:type="dxa" w:w="5103"/>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Przykładowa formuła</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Otwarcie</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Wejście przez problem pracy.</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Widzę, że przy tej robocie najwięcej czasu idzie na powtarzalne podnoszenie i ustawianie elementów. Mamy narzędzie, które właśnie ten etap porządkuje.</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Diagnoza</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Ustalenie, czy produkt pasuje do pracy klienta.</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Pracujecie częściej na drobnej kostce, większych płytach czy elementach, które trzeba precyzyjnie ustawiać?</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Argument</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Powiązanie produktu z efektem praktycznym.</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Tu nie chodzi o bajer, tylko o to, żeby człowiek mniej się męczył przy powtarzalnej czynności i szybciej wracał do właściwej pracy.</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Dostępność</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Jasne wskazanie sposobu realizacji.</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Ten produkt jest dostępny od ręki / na zamówienie zgodnie z aktualnym statusem w dokumentach FIXON.</w:t>
            </w:r>
          </w:p>
        </w:tc>
      </w:tr>
      <w:tr>
        <w:tc>
          <w:tcPr>
            <w:tcW w:type="dxa" w:w="1701"/>
            <w:vAlign w:val="top"/>
          </w:tcPr>
          <w:p>
            <w:pPr>
              <w:spacing w:after="0" w:line="240" w:lineRule="auto"/>
            </w:pPr>
            <w:r>
              <w:rPr>
                <w:rFonts w:ascii="Times New Roman" w:hAnsi="Times New Roman"/>
                <w:color w:val="000000"/>
                <w:sz w:val="16"/>
              </w:rPr>
            </w:r>
            <w:r>
              <w:rPr>
                <w:rFonts w:ascii="Times New Roman" w:hAnsi="Times New Roman"/>
                <w:b w:val="0"/>
                <w:color w:val="000000"/>
                <w:sz w:val="16"/>
              </w:rPr>
              <w:t>Zamknięcie</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Przejście do decyzji.</w:t>
            </w:r>
          </w:p>
        </w:tc>
        <w:tc>
          <w:tcPr>
            <w:tcW w:type="dxa" w:w="5103"/>
            <w:vAlign w:val="top"/>
          </w:tcPr>
          <w:p>
            <w:pPr>
              <w:spacing w:after="0" w:line="240" w:lineRule="auto"/>
            </w:pPr>
            <w:r>
              <w:rPr>
                <w:rFonts w:ascii="Times New Roman" w:hAnsi="Times New Roman"/>
                <w:color w:val="000000"/>
                <w:sz w:val="16"/>
              </w:rPr>
            </w:r>
            <w:r>
              <w:rPr>
                <w:rFonts w:ascii="Times New Roman" w:hAnsi="Times New Roman"/>
                <w:b w:val="0"/>
                <w:color w:val="000000"/>
                <w:sz w:val="16"/>
              </w:rPr>
              <w:t>Możemy od razu dobrać jedną sztukę na próbę albo przygotować zestaw dla całej ekipy.</w:t>
            </w:r>
          </w:p>
        </w:tc>
      </w:tr>
    </w:tbl>
    <w:p>
      <w:pPr>
        <w:spacing w:before="160" w:after="80"/>
        <w:jc w:val="center"/>
      </w:pPr>
      <w:r>
        <w:rPr>
          <w:rFonts w:ascii="Times New Roman" w:hAnsi="Times New Roman"/>
          <w:b/>
          <w:color w:val="000000"/>
          <w:sz w:val="24"/>
        </w:rPr>
        <w:t>§ 6. Komunikacja ceny, rabatów i RRP</w:t>
      </w:r>
    </w:p>
    <w:p>
      <w:pPr>
        <w:spacing w:after="60" w:line="247" w:lineRule="auto"/>
        <w:ind w:firstLine="283"/>
        <w:jc w:val="both"/>
      </w:pPr>
      <w:r>
        <w:rPr>
          <w:rFonts w:ascii="Times New Roman" w:hAnsi="Times New Roman"/>
          <w:color w:val="000000"/>
          <w:sz w:val="19"/>
        </w:rPr>
        <w:t>1. Partner powinien komunikować cenę produktów FIXON w sposób zgodny z aktualnym Cennikiem Katalogowym, dokumentami programowymi i zasadami RRP. Cena nie może być przedstawiana w sposób sugerujący rabat, promocję albo dostępność, które nie zostały potwierdzone w obowiązujących dokumentach.</w:t>
      </w:r>
    </w:p>
    <w:p>
      <w:pPr>
        <w:spacing w:after="60" w:line="247" w:lineRule="auto"/>
        <w:ind w:firstLine="283"/>
        <w:jc w:val="both"/>
      </w:pPr>
      <w:r>
        <w:rPr>
          <w:rFonts w:ascii="Times New Roman" w:hAnsi="Times New Roman"/>
          <w:color w:val="000000"/>
          <w:sz w:val="19"/>
        </w:rPr>
        <w:t>2. W komunikacji cenowej należy unikać agresywnego dumpingu, obniżania wartości marki oraz przedstawiania produktów FIXON jako taniego dodatku do materiału podstawowego. Dopuszczalne jest łączenie produktów z ofertą materiałową Partnera, ale komunikat powinien wskazywać realną wartość narzędzia dla wykonawcy.</w:t>
      </w:r>
    </w:p>
    <w:p>
      <w:pPr>
        <w:spacing w:after="60" w:line="247" w:lineRule="auto"/>
        <w:ind w:firstLine="283"/>
        <w:jc w:val="both"/>
      </w:pPr>
      <w:r>
        <w:rPr>
          <w:rFonts w:ascii="Times New Roman" w:hAnsi="Times New Roman"/>
          <w:color w:val="000000"/>
          <w:sz w:val="19"/>
        </w:rPr>
        <w:t>3. Jeżeli Partner komunikuje rabat, promocję, pakiet, zestaw lub indywidualną ofertę, powinien zadbać, aby klient rozumiał, czego dotyczy obniżka, czy obejmuje koszt dostawy, jaki jest termin dostępności i czy oferta jest ograniczona czasowo lub ilościowo.</w:t>
      </w:r>
    </w:p>
    <w:p>
      <w:pPr>
        <w:spacing w:after="60" w:line="247" w:lineRule="auto"/>
        <w:ind w:firstLine="283"/>
        <w:jc w:val="both"/>
      </w:pPr>
      <w:r>
        <w:rPr>
          <w:rFonts w:ascii="Times New Roman" w:hAnsi="Times New Roman"/>
          <w:color w:val="000000"/>
          <w:sz w:val="19"/>
        </w:rPr>
        <w:t>4. Partner nie powinien publicznie komunikować indywidualnych warunków rabatowych, dodatkowych rabatów strategicznych, warunków wyłączności, ochrony rynku ani innych benefitów programu, jeżeli nie wynika to wprost z materiałów zatwierdzonych przez Dostawcę.</w:t>
      </w:r>
    </w:p>
    <w:p>
      <w:pPr>
        <w:spacing w:before="160" w:after="80"/>
        <w:jc w:val="center"/>
      </w:pPr>
      <w:r>
        <w:rPr>
          <w:rFonts w:ascii="Times New Roman" w:hAnsi="Times New Roman"/>
          <w:b/>
          <w:color w:val="000000"/>
          <w:sz w:val="24"/>
        </w:rPr>
        <w:t>§ 7. Komunikacja dostępności i terminów</w:t>
      </w:r>
    </w:p>
    <w:p>
      <w:pPr>
        <w:spacing w:after="60" w:line="247" w:lineRule="auto"/>
        <w:ind w:firstLine="283"/>
        <w:jc w:val="both"/>
      </w:pPr>
      <w:r>
        <w:rPr>
          <w:rFonts w:ascii="Times New Roman" w:hAnsi="Times New Roman"/>
          <w:color w:val="000000"/>
          <w:sz w:val="19"/>
        </w:rPr>
        <w:t>1. Informacje o dostępności produktów powinny być oparte na aktualnych statusach produktów, cenniku, liście magazynu startowego, liście wsparcia magazynowego albo informacji otrzymanej od Dostawcy lub Pośrednika. Partner nie powinien obiecywać dostępności „od ręki”, jeżeli produkt jest dostępny na zamówienie albo wymaga potwierdzenia terminu.</w:t>
      </w:r>
    </w:p>
    <w:p>
      <w:pPr>
        <w:spacing w:after="60" w:line="247" w:lineRule="auto"/>
        <w:ind w:firstLine="283"/>
        <w:jc w:val="both"/>
      </w:pPr>
      <w:r>
        <w:rPr>
          <w:rFonts w:ascii="Times New Roman" w:hAnsi="Times New Roman"/>
          <w:color w:val="000000"/>
          <w:sz w:val="19"/>
        </w:rPr>
        <w:t>2. Dopuszczalne statusy komunikacyjne powinny odpowiadać statusom stosowanym w dokumentach programowych, w szczególności: dostępny w magazynie startowym, objęty wsparciem magazynowym, dostępny od ręki z dostawą od producenta, dostępny na zamówienie z terminem 7 dni, dostępny na zamówienie z terminem do 14 dni, dostępny jako narzędzie testowe, dostępny do zakupu na ekspozycję z rabatem 50% albo produkt eksploatacyjny/wyłączony z wyniku sprzedaży.</w:t>
      </w:r>
    </w:p>
    <w:p>
      <w:pPr>
        <w:spacing w:after="60" w:line="247" w:lineRule="auto"/>
        <w:ind w:firstLine="283"/>
        <w:jc w:val="both"/>
      </w:pPr>
      <w:r>
        <w:rPr>
          <w:rFonts w:ascii="Times New Roman" w:hAnsi="Times New Roman"/>
          <w:color w:val="000000"/>
          <w:sz w:val="19"/>
        </w:rPr>
        <w:t>3. Jeżeli termin może ulec zmianie z przyczyn produkcyjnych, logistycznych, magazynowych albo transportowych, Partner powinien komunikować go jako termin przewidywany albo wymagający potwierdzenia, zamiast jako termin gwarantowany.</w:t>
      </w:r>
    </w:p>
    <w:p>
      <w:pPr>
        <w:spacing w:before="160" w:after="80"/>
        <w:jc w:val="center"/>
      </w:pPr>
      <w:r>
        <w:rPr>
          <w:rFonts w:ascii="Times New Roman" w:hAnsi="Times New Roman"/>
          <w:b/>
          <w:color w:val="000000"/>
          <w:sz w:val="24"/>
        </w:rPr>
        <w:t>§ 8. Materiały marketingowe i materiały własne Partnera</w:t>
      </w:r>
    </w:p>
    <w:p>
      <w:pPr>
        <w:spacing w:after="60" w:line="247" w:lineRule="auto"/>
        <w:ind w:firstLine="283"/>
        <w:jc w:val="both"/>
      </w:pPr>
      <w:r>
        <w:rPr>
          <w:rFonts w:ascii="Times New Roman" w:hAnsi="Times New Roman"/>
          <w:color w:val="000000"/>
          <w:sz w:val="19"/>
        </w:rPr>
        <w:t>1. Partner może korzystać z materiałów marketingowych przekazanych przez Dostawcę lub Pośrednika wyłącznie w celu promowania i sprzedaży produktów FIXON, zgodnie z ich przeznaczeniem, bez usuwania oznaczeń, zniekształcania treści, zmiany parametrów technicznych albo dopisywania niezatwierdzonych deklaracji.</w:t>
      </w:r>
    </w:p>
    <w:p>
      <w:pPr>
        <w:spacing w:after="60" w:line="247" w:lineRule="auto"/>
        <w:ind w:firstLine="283"/>
        <w:jc w:val="both"/>
      </w:pPr>
      <w:r>
        <w:rPr>
          <w:rFonts w:ascii="Times New Roman" w:hAnsi="Times New Roman"/>
          <w:color w:val="000000"/>
          <w:sz w:val="19"/>
        </w:rPr>
        <w:t>2. Partner może tworzyć własne reklamy, grafiki, zdjęcia, filmy, opisy, prezentacje, posty, mailingi, landing page, katalogi albo materiały szkoleniowe dotyczące produktów FIXON, pod warunkiem że materiały te nie naruszają niniejszej Polityki i zostaną zaakceptowane przez Dostawcę, jeżeli zawierają nowe komunikaty produktowe, porównania, obietnice efektów, hasła sprzedażowe albo intensywne wykorzystanie logo i oznaczeń FIXON.</w:t>
      </w:r>
    </w:p>
    <w:p>
      <w:pPr>
        <w:spacing w:after="60" w:line="247" w:lineRule="auto"/>
        <w:ind w:firstLine="283"/>
        <w:jc w:val="both"/>
      </w:pPr>
      <w:r>
        <w:rPr>
          <w:rFonts w:ascii="Times New Roman" w:hAnsi="Times New Roman"/>
          <w:color w:val="000000"/>
          <w:sz w:val="19"/>
        </w:rPr>
        <w:t>3. Materiał raz zaakceptowany może być ponownie używany przez Partnera w tym samym lub zasadniczo takim samym kontekście, o ile nie zmieniono jego sensu, treści, grafiki produktowej, warunków cenowych, statusu dostępności albo grupy odbiorców.</w:t>
      </w:r>
    </w:p>
    <w:p>
      <w:pPr>
        <w:spacing w:after="60" w:line="247" w:lineRule="auto"/>
        <w:ind w:firstLine="283"/>
        <w:jc w:val="both"/>
      </w:pPr>
      <w:r>
        <w:rPr>
          <w:rFonts w:ascii="Times New Roman" w:hAnsi="Times New Roman"/>
          <w:color w:val="000000"/>
          <w:sz w:val="19"/>
        </w:rPr>
        <w:t>4. Partner nie może tworzyć materiałów, które sprawiają wrażenie oficjalnej strony producenta, oficjalnego konta FIXON, oficjalnego certyfikatu, autoryzacji wyższej niż rzeczywiście przyznana albo wyłączności, której Partner nie posiada.</w:t>
      </w:r>
    </w:p>
    <w:p>
      <w:pPr>
        <w:spacing w:before="160" w:after="80"/>
        <w:jc w:val="center"/>
      </w:pPr>
      <w:r>
        <w:rPr>
          <w:rFonts w:ascii="Times New Roman" w:hAnsi="Times New Roman"/>
          <w:b/>
          <w:color w:val="000000"/>
          <w:sz w:val="24"/>
        </w:rPr>
        <w:t>§ 9. Strony internetowe, marketplace, social media i reklama płatna</w:t>
      </w:r>
    </w:p>
    <w:p>
      <w:pPr>
        <w:spacing w:after="60" w:line="247" w:lineRule="auto"/>
        <w:ind w:firstLine="283"/>
        <w:jc w:val="both"/>
      </w:pPr>
      <w:r>
        <w:rPr>
          <w:rFonts w:ascii="Times New Roman" w:hAnsi="Times New Roman"/>
          <w:color w:val="000000"/>
          <w:sz w:val="19"/>
        </w:rPr>
        <w:t>1. W opisach internetowych produktów FIXON Partner powinien korzystać z aktualnych nazw produktów, zdjęć, cen, statusów i opisów zgodnych z dokumentami programowymi. Opis powinien jasno wskazywać, czy produkt jest dostępny od ręki, na zamówienie, jako narzędzie testowe, ekspozycyjne lub w innym trybie przewidzianym w Programie.</w:t>
      </w:r>
    </w:p>
    <w:p>
      <w:pPr>
        <w:spacing w:after="60" w:line="247" w:lineRule="auto"/>
        <w:ind w:firstLine="283"/>
        <w:jc w:val="both"/>
      </w:pPr>
      <w:r>
        <w:rPr>
          <w:rFonts w:ascii="Times New Roman" w:hAnsi="Times New Roman"/>
          <w:color w:val="000000"/>
          <w:sz w:val="19"/>
        </w:rPr>
        <w:t>2. Partner może publikować treści edukacyjne, poradnikowe, demonstracyjne i sprzedażowe dotyczące produktów FIXON, w tym filmy z użycia narzędzi, zdjęcia ekspozycji, prezentacje dla ekip brukarskich oraz posty pokazujące praktyczne zastosowanie produktów, pod warunkiem że nie naruszają one zasad bezpieczeństwa, godności pracowników, renomy marki ani praw osób trzecich.</w:t>
      </w:r>
    </w:p>
    <w:p>
      <w:pPr>
        <w:spacing w:after="60" w:line="247" w:lineRule="auto"/>
        <w:ind w:firstLine="283"/>
        <w:jc w:val="both"/>
      </w:pPr>
      <w:r>
        <w:rPr>
          <w:rFonts w:ascii="Times New Roman" w:hAnsi="Times New Roman"/>
          <w:color w:val="000000"/>
          <w:sz w:val="19"/>
        </w:rPr>
        <w:t>3. Reklama płatna nie powinna sugerować, że Partner jest producentem produktów FIXON, chyba że komunikat jednoznacznie wskazuje jego rzeczywistą rolę jako Partnera, dystrybutora, sprzedawcy, centrum demonstracyjnego albo innego podmiotu w ramach Programu.</w:t>
      </w:r>
    </w:p>
    <w:p>
      <w:pPr>
        <w:spacing w:after="60" w:line="247" w:lineRule="auto"/>
        <w:ind w:firstLine="283"/>
        <w:jc w:val="both"/>
      </w:pPr>
      <w:r>
        <w:rPr>
          <w:rFonts w:ascii="Times New Roman" w:hAnsi="Times New Roman"/>
          <w:color w:val="000000"/>
          <w:sz w:val="19"/>
        </w:rPr>
        <w:t>4. W reklamach, opisach marketplace i postach Partner nie powinien stosować clickbaitów opartych na strachu, fałszywej niedostępności, presji czasu, nieuczciwym porównywaniu lub dyskredytowaniu konkurencji. Dopuszczalna jest komunikacja dynamiczna, praktyczna i sprzedażowa, ale oparta na realnych cechach produktu i potrzebach wykonawcy.</w:t>
      </w:r>
    </w:p>
    <w:p>
      <w:pPr>
        <w:spacing w:before="160" w:after="80"/>
        <w:jc w:val="center"/>
      </w:pPr>
      <w:r>
        <w:rPr>
          <w:rFonts w:ascii="Times New Roman" w:hAnsi="Times New Roman"/>
          <w:b/>
          <w:color w:val="000000"/>
          <w:sz w:val="24"/>
        </w:rPr>
        <w:t>§ 10. Porównania z konkurencją i komunikacja przewagi</w:t>
      </w:r>
    </w:p>
    <w:p>
      <w:pPr>
        <w:spacing w:after="60" w:line="247" w:lineRule="auto"/>
        <w:ind w:firstLine="283"/>
        <w:jc w:val="both"/>
      </w:pPr>
      <w:r>
        <w:rPr>
          <w:rFonts w:ascii="Times New Roman" w:hAnsi="Times New Roman"/>
          <w:color w:val="000000"/>
          <w:sz w:val="19"/>
        </w:rPr>
        <w:t>1. Porównania produktów FIXON z produktami konkurencyjnymi wymagają szczególnej ostrożności. Partner może komunikować przewagi takie jak materiał wykonania, precyzja, wygoda, dostępność, cena katalogowa, praktyczność albo przeznaczenie, jeżeli są one zgodne z prawdą, możliwe do wykazania i nie naruszają dobrego imienia konkurentów.</w:t>
      </w:r>
    </w:p>
    <w:p>
      <w:pPr>
        <w:spacing w:after="60" w:line="247" w:lineRule="auto"/>
        <w:ind w:firstLine="283"/>
        <w:jc w:val="both"/>
      </w:pPr>
      <w:r>
        <w:rPr>
          <w:rFonts w:ascii="Times New Roman" w:hAnsi="Times New Roman"/>
          <w:color w:val="000000"/>
          <w:sz w:val="19"/>
        </w:rPr>
        <w:t>2. Publiczne porównania z nazwanymi konkurentami, produktami konkurencji, konkretnymi cenami, parametrami technicznymi albo hasłami typu „lepsze niż” wymagają wcześniejszej akceptacji Dostawcy, chyba że Partner korzysta z materiału porównawczego przygotowanego lub zatwierdzonego przez Dostawcę.</w:t>
      </w:r>
    </w:p>
    <w:p>
      <w:pPr>
        <w:spacing w:after="60" w:line="247" w:lineRule="auto"/>
        <w:ind w:firstLine="283"/>
        <w:jc w:val="both"/>
      </w:pPr>
      <w:r>
        <w:rPr>
          <w:rFonts w:ascii="Times New Roman" w:hAnsi="Times New Roman"/>
          <w:color w:val="000000"/>
          <w:sz w:val="19"/>
        </w:rPr>
        <w:t>3. Bezpieczniejszą formą komunikacji przewagi jest pokazanie problemu budowlanego i sposobu jego rozwiązania przez produkt FIXON, bez wskazywania konkretnego konkurenta. Rekomendowana komunikacja: „zamiast dorabiać prowizoryczne rozwiązanie na budowie, można użyć narzędzia zaprojektowanego do tej czynności”.</w:t>
      </w:r>
    </w:p>
    <w:p>
      <w:pPr>
        <w:spacing w:before="160" w:after="80"/>
        <w:jc w:val="center"/>
      </w:pPr>
      <w:r>
        <w:rPr>
          <w:rFonts w:ascii="Times New Roman" w:hAnsi="Times New Roman"/>
          <w:b/>
          <w:color w:val="000000"/>
          <w:sz w:val="24"/>
        </w:rPr>
        <w:t>§ 11. Komunikacja reklamacji, zwrotów i sytuacji spornych</w:t>
      </w:r>
    </w:p>
    <w:p>
      <w:pPr>
        <w:spacing w:after="60" w:line="247" w:lineRule="auto"/>
        <w:ind w:firstLine="283"/>
        <w:jc w:val="both"/>
      </w:pPr>
      <w:r>
        <w:rPr>
          <w:rFonts w:ascii="Times New Roman" w:hAnsi="Times New Roman"/>
          <w:color w:val="000000"/>
          <w:sz w:val="19"/>
        </w:rPr>
        <w:t>1. W sytuacji reklamacji, zwrotu, opóźnienia, rozbieżności magazynowej albo niezadowolenia klienta Partner powinien komunikować się spokojnie, rzeczowo i zgodnie z procedurami FIXON. Nie należy obiecywać klientowi uznania reklamacji, wymiany, rabatu, zwrotu pieniędzy albo terminu dostawy, jeżeli sprawa wymaga decyzji Dostawcy lub Pośrednika.</w:t>
      </w:r>
    </w:p>
    <w:p>
      <w:pPr>
        <w:spacing w:after="60" w:line="247" w:lineRule="auto"/>
        <w:ind w:firstLine="283"/>
        <w:jc w:val="both"/>
      </w:pPr>
      <w:r>
        <w:rPr>
          <w:rFonts w:ascii="Times New Roman" w:hAnsi="Times New Roman"/>
          <w:color w:val="000000"/>
          <w:sz w:val="19"/>
        </w:rPr>
        <w:t>2. Partner powinien unikać przerzucania winy na klienta, ekipę, producenta, przewoźnika albo inną stronę bez wcześniejszej weryfikacji. Dopuszczalny komunikat powinien brzmieć: „Przyjmujemy zgłoszenie, przekażemy je do weryfikacji i wrócimy z odpowiedzią zgodnie z procedurą”.</w:t>
      </w:r>
    </w:p>
    <w:p>
      <w:pPr>
        <w:spacing w:after="60" w:line="247" w:lineRule="auto"/>
        <w:ind w:firstLine="283"/>
        <w:jc w:val="both"/>
      </w:pPr>
      <w:r>
        <w:rPr>
          <w:rFonts w:ascii="Times New Roman" w:hAnsi="Times New Roman"/>
          <w:color w:val="000000"/>
          <w:sz w:val="19"/>
        </w:rPr>
        <w:t>3. W komunikacji publicznej, w szczególności w komentarzach internetowych i mediach społecznościowych, Partner nie powinien ujawniać danych klienta, szczegółów sporu, dokumentów handlowych, warunków indywidualnych ani wewnętrznych ustaleń programu.</w:t>
      </w:r>
    </w:p>
    <w:p>
      <w:pPr>
        <w:spacing w:before="160" w:after="80"/>
        <w:jc w:val="center"/>
      </w:pPr>
      <w:r>
        <w:rPr>
          <w:rFonts w:ascii="Times New Roman" w:hAnsi="Times New Roman"/>
          <w:b/>
          <w:color w:val="000000"/>
          <w:sz w:val="24"/>
        </w:rPr>
        <w:t>§ 12. Szkolenie zespołu Partnera i odpowiedzialność za komunikację</w:t>
      </w:r>
    </w:p>
    <w:p>
      <w:pPr>
        <w:spacing w:after="60" w:line="247" w:lineRule="auto"/>
        <w:ind w:firstLine="283"/>
        <w:jc w:val="both"/>
      </w:pPr>
      <w:r>
        <w:rPr>
          <w:rFonts w:ascii="Times New Roman" w:hAnsi="Times New Roman"/>
          <w:color w:val="000000"/>
          <w:sz w:val="19"/>
        </w:rPr>
        <w:t>1. Partner powinien zapewnić, aby osoby zaangażowane w sprzedaż, obsługę klienta, marketing, ekspozycję, e-commerce i raportowanie znały podstawowe zasady niniejszej Polityki oraz korzystały z aktualnych materiałów i dokumentów programowych.</w:t>
      </w:r>
    </w:p>
    <w:p>
      <w:pPr>
        <w:spacing w:after="60" w:line="247" w:lineRule="auto"/>
        <w:ind w:firstLine="283"/>
        <w:jc w:val="both"/>
      </w:pPr>
      <w:r>
        <w:rPr>
          <w:rFonts w:ascii="Times New Roman" w:hAnsi="Times New Roman"/>
          <w:color w:val="000000"/>
          <w:sz w:val="19"/>
        </w:rPr>
        <w:t>2. Dostawca lub Pośrednik mogą przekazywać Partnerowi dodatkowe materiały szkoleniowe, skrypty rozmów, karty argumentów, odpowiedzi na najczęstsze pytania, wzory postów, opisy produktowe, zdjęcia, wideo i rekomendacje użycia. Materiały te powinny być traktowane jako preferowany wzorzec komunikacji.</w:t>
      </w:r>
    </w:p>
    <w:p>
      <w:pPr>
        <w:spacing w:after="60" w:line="247" w:lineRule="auto"/>
        <w:ind w:firstLine="283"/>
        <w:jc w:val="both"/>
      </w:pPr>
      <w:r>
        <w:rPr>
          <w:rFonts w:ascii="Times New Roman" w:hAnsi="Times New Roman"/>
          <w:color w:val="000000"/>
          <w:sz w:val="19"/>
        </w:rPr>
        <w:t>3. Partner odpowiada za komunikację prowadzoną przez swoje placówki, przedstawicieli, pracowników, podwykonawców, agencje marketingowe i osoby działające na jego zlecenie w zakresie promocji lub sprzedaży produktów FIXON.</w:t>
      </w:r>
    </w:p>
    <w:p>
      <w:pPr>
        <w:spacing w:before="160" w:after="80"/>
        <w:jc w:val="center"/>
      </w:pPr>
      <w:r>
        <w:rPr>
          <w:rFonts w:ascii="Times New Roman" w:hAnsi="Times New Roman"/>
          <w:b/>
          <w:color w:val="000000"/>
          <w:sz w:val="24"/>
        </w:rPr>
        <w:t>§ 13. Kontrola, korekta i naruszenia Polityki</w:t>
      </w:r>
    </w:p>
    <w:p>
      <w:pPr>
        <w:spacing w:after="60" w:line="247" w:lineRule="auto"/>
        <w:ind w:firstLine="283"/>
        <w:jc w:val="both"/>
      </w:pPr>
      <w:r>
        <w:rPr>
          <w:rFonts w:ascii="Times New Roman" w:hAnsi="Times New Roman"/>
          <w:color w:val="000000"/>
          <w:sz w:val="19"/>
        </w:rPr>
        <w:t>1. Dostawca lub Pośrednik mogą zwrócić się do Partnera o zmianę, usunięcie albo korektę komunikatu, reklamy, opisu, grafiki, filmu, posta, oferty, strony internetowej, kampanii albo materiału, jeżeli narusza on niniejszą Politykę, dokumenty programowe, zasady RRP, prawa do marki albo interes FIXON.</w:t>
      </w:r>
    </w:p>
    <w:p>
      <w:pPr>
        <w:spacing w:after="60" w:line="247" w:lineRule="auto"/>
        <w:ind w:firstLine="283"/>
        <w:jc w:val="both"/>
      </w:pPr>
      <w:r>
        <w:rPr>
          <w:rFonts w:ascii="Times New Roman" w:hAnsi="Times New Roman"/>
          <w:color w:val="000000"/>
          <w:sz w:val="19"/>
        </w:rPr>
        <w:t>2. Partner powinien dokonać wymaganej korekty niezwłocznie, nie później niż w terminie wskazanym przez Dostawcę lub Pośrednika, a jeżeli sprawa dotyczy komunikatu mogącego wprowadzać klientów w błąd, naruszać prawo, sugerować nieistniejące warunki albo szkodzić marce, korekta powinna zostać wykonana bez zbędnej zwłoki.</w:t>
      </w:r>
    </w:p>
    <w:p>
      <w:pPr>
        <w:spacing w:after="60" w:line="247" w:lineRule="auto"/>
        <w:ind w:firstLine="283"/>
        <w:jc w:val="both"/>
      </w:pPr>
      <w:r>
        <w:rPr>
          <w:rFonts w:ascii="Times New Roman" w:hAnsi="Times New Roman"/>
          <w:color w:val="000000"/>
          <w:sz w:val="19"/>
        </w:rPr>
        <w:t>3. Powtarzające się naruszenia Polityki mogą uzasadniać ograniczenie materiałów marketingowych, ograniczenie uprawnień programowych, wstrzymanie zgody na kampanie, cofnięcie zgody na wykorzystywanie wybranych materiałów, zmianę statusu Partnera albo inne działania przewidziane w Programie Partnerskim i dokumentach współpracy.</w:t>
      </w:r>
    </w:p>
    <w:p>
      <w:pPr>
        <w:spacing w:before="160" w:after="80"/>
        <w:jc w:val="center"/>
      </w:pPr>
      <w:r>
        <w:rPr>
          <w:rFonts w:ascii="Times New Roman" w:hAnsi="Times New Roman"/>
          <w:b/>
          <w:color w:val="000000"/>
          <w:sz w:val="24"/>
        </w:rPr>
        <w:t>§ 14. Lista kontrolna komunikacji sprzedażowej</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6804"/>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Pytanie kontrolne</w:t>
            </w:r>
          </w:p>
        </w:tc>
        <w:tc>
          <w:tcPr>
            <w:tcW w:type="dxa" w:w="2835"/>
            <w:shd w:fill="D9EAF7"/>
            <w:vAlign w:val="center"/>
          </w:tcPr>
          <w:p>
            <w:pPr>
              <w:spacing w:after="0" w:line="240" w:lineRule="auto"/>
            </w:pPr>
            <w:r>
              <w:rPr>
                <w:rFonts w:ascii="Times New Roman" w:hAnsi="Times New Roman"/>
                <w:color w:val="000000"/>
                <w:sz w:val="16"/>
              </w:rPr>
            </w:r>
            <w:r>
              <w:rPr>
                <w:rFonts w:ascii="Times New Roman" w:hAnsi="Times New Roman"/>
                <w:b/>
                <w:color w:val="000000"/>
                <w:sz w:val="16"/>
              </w:rPr>
              <w:t>TAK/NIE/uwagi</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komunikat zaczyna się od realnego problemu wykonawcy albo konkretnego zastosowania produktu?</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użyto aktualnej nazwy produktu, ceny, statusu dostępności i warunków dostawy?</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komunikat nie obiecuje gwarantowanego wyniku, procentu oszczędności albo efektu niepotwierdzonego przez Dostawcę?</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komunikat nie sugeruje nieistniejącej wyłączności, autoryzacji, certyfikatu albo statusu Partnera?</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reklama nie narusza RRP i nie buduje sprzedaży wyłącznie na dumpingu cenowym?</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materiał własny Partnera wymaga akceptacji Dostawcy albo Pośrednika przed publikacją?</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r>
        <w:tc>
          <w:tcPr>
            <w:tcW w:type="dxa" w:w="6804"/>
            <w:vAlign w:val="top"/>
          </w:tcPr>
          <w:p>
            <w:pPr>
              <w:spacing w:after="0" w:line="240" w:lineRule="auto"/>
            </w:pPr>
            <w:r>
              <w:rPr>
                <w:rFonts w:ascii="Times New Roman" w:hAnsi="Times New Roman"/>
                <w:color w:val="000000"/>
                <w:sz w:val="16"/>
              </w:rPr>
            </w:r>
            <w:r>
              <w:rPr>
                <w:rFonts w:ascii="Times New Roman" w:hAnsi="Times New Roman"/>
                <w:b w:val="0"/>
                <w:color w:val="000000"/>
                <w:sz w:val="16"/>
              </w:rPr>
              <w:t>Czy handlowiec wie, jak odpowiedzieć na pytanie o dostępność, test, ekspozycję, zamówienie i reklamację?</w:t>
            </w:r>
          </w:p>
        </w:tc>
        <w:tc>
          <w:tcPr>
            <w:tcW w:type="dxa" w:w="2835"/>
            <w:vAlign w:val="top"/>
          </w:tcPr>
          <w:p>
            <w:pPr>
              <w:spacing w:after="0" w:line="240" w:lineRule="auto"/>
            </w:pPr>
            <w:r>
              <w:rPr>
                <w:rFonts w:ascii="Times New Roman" w:hAnsi="Times New Roman"/>
                <w:color w:val="000000"/>
                <w:sz w:val="16"/>
              </w:rPr>
            </w:r>
            <w:r>
              <w:rPr>
                <w:rFonts w:ascii="Times New Roman" w:hAnsi="Times New Roman"/>
                <w:b w:val="0"/>
                <w:color w:val="000000"/>
                <w:sz w:val="16"/>
              </w:rPr>
              <w:t>........................................</w:t>
            </w:r>
          </w:p>
        </w:tc>
      </w:tr>
    </w:tbl>
    <w:p>
      <w:pPr>
        <w:spacing w:before="160" w:after="80"/>
        <w:jc w:val="center"/>
      </w:pPr>
      <w:r>
        <w:rPr>
          <w:rFonts w:ascii="Times New Roman" w:hAnsi="Times New Roman"/>
          <w:b/>
          <w:color w:val="000000"/>
          <w:sz w:val="24"/>
        </w:rPr>
        <w:t>§ 15. Klauzula zastrzeżeń i zatwierdzenie</w:t>
      </w:r>
    </w:p>
    <w:p>
      <w:pPr>
        <w:spacing w:after="60" w:line="247" w:lineRule="auto"/>
        <w:ind w:firstLine="283"/>
        <w:jc w:val="both"/>
      </w:pPr>
      <w:r>
        <w:rPr>
          <w:rFonts w:ascii="Times New Roman" w:hAnsi="Times New Roman"/>
          <w:color w:val="000000"/>
          <w:sz w:val="19"/>
        </w:rPr>
        <w:t>Dokument przekazany Partnerowi w ramach Programu Partnerskiego FIXON nie wymaga podpisu osobistego, jeżeli Partner nie zgłosi zastrzeżeń do jego treści w terminie 7 dni od dnia jego dostarczenia. Brak zgłoszenia zastrzeżeń w tym terminie oznacza przyjęcie dokumentu do wiadomości i stosowania w ramach bieżącej współpracy. Dokument może być również opatrzony podpisem elektronicznym, podpisem cyfrowym, podpisem zaufanym, kwalifikowanym podpisem elektronicznym albo inną formą elektronicznego potwierdzenia zaakceptowaną przez Strony. Jeżeli Partner zgłosi zastrzeżenia do dokumentu w terminie 7 dni od dnia jego dostarczenia, dokument nie zostaje przyjęty w trybie braku zastrzeżeń w zakresie objętym zgłoszeniem, a końcowa uzgodniona wersja wymaga zatwierdzenia przez obie Strony w formie podpisów osobistych albo podpisów elektronicznych zaakceptowanych przez Strony, chyba że Strony wyraźnie uzgodnią inną formę zatwierdzenia w korespondencji dokumentowej.</w:t>
      </w:r>
    </w:p>
    <w:tbl>
      <w:tblPr>
        <w:tblStyle w:val="TableGrid"/>
        <w:tblW w:type="auto" w:w="0"/>
        <w:jc w:val="center"/>
        <w:tblLook w:firstColumn="1" w:firstRow="1" w:lastColumn="0" w:lastRow="0" w:noHBand="0" w:noVBand="1" w:val="04A0"/>
      </w:tblPr>
      <w:tblGrid>
        <w:gridCol w:w="3437"/>
        <w:gridCol w:w="3437"/>
        <w:gridCol w:w="3437"/>
      </w:tblGrid>
      <w:tr>
        <w:tc>
          <w:tcPr>
            <w:tcW w:type="dxa" w:w="3175"/>
            <w:shd w:fill="D9EAF7"/>
          </w:tcPr>
          <w:p>
            <w:r>
              <w:rPr>
                <w:rFonts w:ascii="Times New Roman" w:hAnsi="Times New Roman"/>
                <w:color w:val="000000"/>
              </w:rPr>
            </w:r>
            <w:r>
              <w:rPr>
                <w:rFonts w:ascii="Times New Roman" w:hAnsi="Times New Roman"/>
                <w:b/>
                <w:color w:val="000000"/>
                <w:sz w:val="18"/>
              </w:rPr>
              <w:t>Dostawca / FIXON</w:t>
            </w:r>
          </w:p>
        </w:tc>
        <w:tc>
          <w:tcPr>
            <w:tcW w:type="dxa" w:w="3175"/>
            <w:shd w:fill="D9EAF7"/>
          </w:tcPr>
          <w:p>
            <w:r>
              <w:rPr>
                <w:rFonts w:ascii="Times New Roman" w:hAnsi="Times New Roman"/>
                <w:color w:val="000000"/>
              </w:rPr>
            </w:r>
            <w:r>
              <w:rPr>
                <w:rFonts w:ascii="Times New Roman" w:hAnsi="Times New Roman"/>
                <w:b/>
                <w:color w:val="000000"/>
                <w:sz w:val="18"/>
              </w:rPr>
              <w:t>Partner</w:t>
            </w:r>
          </w:p>
        </w:tc>
        <w:tc>
          <w:tcPr>
            <w:tcW w:type="dxa" w:w="3175"/>
            <w:shd w:fill="D9EAF7"/>
          </w:tcPr>
          <w:p>
            <w:r>
              <w:rPr>
                <w:rFonts w:ascii="Times New Roman" w:hAnsi="Times New Roman"/>
                <w:color w:val="000000"/>
              </w:rPr>
            </w:r>
            <w:r>
              <w:rPr>
                <w:rFonts w:ascii="Times New Roman" w:hAnsi="Times New Roman"/>
                <w:b/>
                <w:color w:val="000000"/>
                <w:sz w:val="18"/>
              </w:rPr>
              <w:t>Pośrednik</w:t>
            </w:r>
          </w:p>
        </w:tc>
      </w:tr>
      <w:tr>
        <w:tc>
          <w:tcPr>
            <w:tcW w:type="dxa" w:w="3175"/>
          </w:tcPr>
          <w:p>
            <w:r>
              <w:rPr>
                <w:rFonts w:ascii="Times New Roman" w:hAnsi="Times New Roman"/>
                <w:color w:val="000000"/>
              </w:rPr>
            </w:r>
            <w:r>
              <w:rPr>
                <w:rFonts w:ascii="Times New Roman" w:hAnsi="Times New Roman"/>
                <w:b w:val="0"/>
                <w:color w:val="000000"/>
                <w:sz w:val="18"/>
              </w:rPr>
              <w:br/>
              <w:br/>
              <w:t>........................................</w:t>
              <w:br/>
              <w:t>Data, podpis / podpis elektroniczny</w:t>
            </w:r>
          </w:p>
        </w:tc>
        <w:tc>
          <w:tcPr>
            <w:tcW w:type="dxa" w:w="3175"/>
          </w:tcPr>
          <w:p>
            <w:r>
              <w:rPr>
                <w:rFonts w:ascii="Times New Roman" w:hAnsi="Times New Roman"/>
                <w:color w:val="000000"/>
              </w:rPr>
            </w:r>
            <w:r>
              <w:rPr>
                <w:rFonts w:ascii="Times New Roman" w:hAnsi="Times New Roman"/>
                <w:b w:val="0"/>
                <w:color w:val="000000"/>
                <w:sz w:val="18"/>
              </w:rPr>
              <w:br/>
              <w:br/>
              <w:t>........................................</w:t>
              <w:br/>
              <w:t>Data, podpis / podpis elektroniczny</w:t>
            </w:r>
          </w:p>
        </w:tc>
        <w:tc>
          <w:tcPr>
            <w:tcW w:type="dxa" w:w="3175"/>
          </w:tcPr>
          <w:p>
            <w:r>
              <w:rPr>
                <w:rFonts w:ascii="Times New Roman" w:hAnsi="Times New Roman"/>
                <w:color w:val="000000"/>
              </w:rPr>
            </w:r>
            <w:r>
              <w:rPr>
                <w:rFonts w:ascii="Times New Roman" w:hAnsi="Times New Roman"/>
                <w:b w:val="0"/>
                <w:color w:val="000000"/>
                <w:sz w:val="18"/>
              </w:rPr>
              <w:br/>
              <w:br/>
              <w:t>........................................</w:t>
              <w:br/>
              <w:t>Data, podpis / podpis elektroniczny</w:t>
            </w:r>
          </w:p>
        </w:tc>
      </w:tr>
    </w:tbl>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Dokument programowy FIXON - wersja do stosowania w relacjach partnerskich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16"/>
      </w:rPr>
      <w:t>FIXON | Załącznik nr 13 | Polityka Marki i Komunikacji Sprzedażowej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