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4"/>
        </w:rPr>
        <w:t>ZAŁĄCZNIK NR 11</w:t>
      </w:r>
    </w:p>
    <w:p>
      <w:pPr>
        <w:jc w:val="center"/>
      </w:pPr>
      <w:r>
        <w:rPr>
          <w:rFonts w:ascii="Times New Roman" w:hAnsi="Times New Roman"/>
          <w:b/>
          <w:sz w:val="28"/>
        </w:rPr>
        <w:t>PROCEDURA ZWROTU TOWARU FIXON</w:t>
      </w:r>
    </w:p>
    <w:p>
      <w:pPr>
        <w:jc w:val="center"/>
      </w:pPr>
      <w:r>
        <w:rPr>
          <w:rFonts w:ascii="Times New Roman" w:hAnsi="Times New Roman"/>
          <w:sz w:val="18"/>
        </w:rPr>
        <w:t>Dokument określający zasady zgłaszania, przyjmowania, weryfikacji i rozliczania zwrotów towaru w ramach Programu Partnerskiego FIXON.</w:t>
      </w:r>
    </w:p>
    <w:tbl>
      <w:tblPr>
        <w:tblStyle w:val="TableGrid"/>
        <w:tblW w:type="auto" w:w="0"/>
        <w:jc w:val="center"/>
        <w:tblLayout w:type="autofit"/>
        <w:tblLook w:firstColumn="1" w:firstRow="1" w:lastColumn="0" w:lastRow="0" w:noHBand="0" w:noVBand="1" w:val="04A0"/>
      </w:tblPr>
      <w:tblGrid>
        <w:gridCol w:w="5270"/>
        <w:gridCol w:w="5270"/>
      </w:tblGrid>
      <w:tr>
        <w:tc>
          <w:tcPr>
            <w:tcW w:type="dxa" w:w="5270"/>
            <w:shd w:fill="D9EAF7"/>
          </w:tcPr>
          <w:p>
            <w:r/>
            <w:r>
              <w:rPr>
                <w:rFonts w:ascii="Times New Roman" w:hAnsi="Times New Roman" w:eastAsia="Times New Roman"/>
                <w:b/>
                <w:sz w:val="16"/>
              </w:rPr>
              <w:t>Pole</w:t>
            </w:r>
          </w:p>
        </w:tc>
        <w:tc>
          <w:tcPr>
            <w:tcW w:type="dxa" w:w="5270"/>
            <w:shd w:fill="D9EAF7"/>
          </w:tcPr>
          <w:p>
            <w:r/>
            <w:r>
              <w:rPr>
                <w:rFonts w:ascii="Times New Roman" w:hAnsi="Times New Roman" w:eastAsia="Times New Roman"/>
                <w:b/>
                <w:sz w:val="16"/>
              </w:rPr>
              <w:t>Dane / wartość</w:t>
            </w:r>
          </w:p>
        </w:tc>
      </w:tr>
      <w:tr>
        <w:tc>
          <w:tcPr>
            <w:tcW w:type="dxa" w:w="5270"/>
          </w:tcPr>
          <w:p>
            <w:r/>
            <w:r>
              <w:rPr>
                <w:rFonts w:ascii="Times New Roman" w:hAnsi="Times New Roman" w:eastAsia="Times New Roman"/>
                <w:b/>
                <w:sz w:val="16"/>
              </w:rPr>
              <w:t>Numer dokumentu</w:t>
            </w:r>
          </w:p>
        </w:tc>
        <w:tc>
          <w:tcPr>
            <w:tcW w:type="dxa" w:w="5270"/>
          </w:tcPr>
          <w:p>
            <w:r/>
            <w:r>
              <w:rPr>
                <w:rFonts w:ascii="Times New Roman" w:hAnsi="Times New Roman" w:eastAsia="Times New Roman"/>
                <w:b w:val="0"/>
                <w:sz w:val="16"/>
              </w:rPr>
              <w:t>ZST/FIXON/____/____</w:t>
            </w:r>
          </w:p>
        </w:tc>
      </w:tr>
      <w:tr>
        <w:tc>
          <w:tcPr>
            <w:tcW w:type="dxa" w:w="5270"/>
          </w:tcPr>
          <w:p>
            <w:r/>
            <w:r>
              <w:rPr>
                <w:rFonts w:ascii="Times New Roman" w:hAnsi="Times New Roman" w:eastAsia="Times New Roman"/>
                <w:b/>
                <w:sz w:val="16"/>
              </w:rPr>
              <w:t>Data wydania</w:t>
            </w:r>
          </w:p>
        </w:tc>
        <w:tc>
          <w:tcPr>
            <w:tcW w:type="dxa" w:w="5270"/>
          </w:tcPr>
          <w:p>
            <w:r/>
            <w:r>
              <w:rPr>
                <w:rFonts w:ascii="Times New Roman" w:hAnsi="Times New Roman" w:eastAsia="Times New Roman"/>
                <w:b w:val="0"/>
                <w:sz w:val="16"/>
              </w:rPr>
              <w:t>____ / ____ / ______</w:t>
            </w:r>
          </w:p>
        </w:tc>
      </w:tr>
      <w:tr>
        <w:tc>
          <w:tcPr>
            <w:tcW w:type="dxa" w:w="5270"/>
          </w:tcPr>
          <w:p>
            <w:r/>
            <w:r>
              <w:rPr>
                <w:rFonts w:ascii="Times New Roman" w:hAnsi="Times New Roman" w:eastAsia="Times New Roman"/>
                <w:b/>
                <w:sz w:val="16"/>
              </w:rPr>
              <w:t>Partner</w:t>
            </w:r>
          </w:p>
        </w:tc>
        <w:tc>
          <w:tcPr>
            <w:tcW w:type="dxa" w:w="5270"/>
          </w:tcPr>
          <w:p>
            <w:r/>
            <w:r>
              <w:rPr>
                <w:rFonts w:ascii="Times New Roman" w:hAnsi="Times New Roman" w:eastAsia="Times New Roman"/>
                <w:b w:val="0"/>
                <w:sz w:val="16"/>
              </w:rPr>
              <w:t>________________________________________</w:t>
            </w:r>
          </w:p>
        </w:tc>
      </w:tr>
      <w:tr>
        <w:tc>
          <w:tcPr>
            <w:tcW w:type="dxa" w:w="5270"/>
          </w:tcPr>
          <w:p>
            <w:r/>
            <w:r>
              <w:rPr>
                <w:rFonts w:ascii="Times New Roman" w:hAnsi="Times New Roman" w:eastAsia="Times New Roman"/>
                <w:b/>
                <w:sz w:val="16"/>
              </w:rPr>
              <w:t>Dostawca</w:t>
            </w:r>
          </w:p>
        </w:tc>
        <w:tc>
          <w:tcPr>
            <w:tcW w:type="dxa" w:w="5270"/>
          </w:tcPr>
          <w:p>
            <w:r/>
            <w:r>
              <w:rPr>
                <w:rFonts w:ascii="Times New Roman" w:hAnsi="Times New Roman" w:eastAsia="Times New Roman"/>
                <w:b w:val="0"/>
                <w:sz w:val="16"/>
              </w:rPr>
              <w:t>FIXON IRYNA MUKOSII</w:t>
            </w:r>
          </w:p>
        </w:tc>
      </w:tr>
      <w:tr>
        <w:tc>
          <w:tcPr>
            <w:tcW w:type="dxa" w:w="5270"/>
          </w:tcPr>
          <w:p>
            <w:r/>
            <w:r>
              <w:rPr>
                <w:rFonts w:ascii="Times New Roman" w:hAnsi="Times New Roman" w:eastAsia="Times New Roman"/>
                <w:b/>
                <w:sz w:val="16"/>
              </w:rPr>
              <w:t>Pośrednik</w:t>
            </w:r>
          </w:p>
        </w:tc>
        <w:tc>
          <w:tcPr>
            <w:tcW w:type="dxa" w:w="5270"/>
          </w:tcPr>
          <w:p>
            <w:r/>
            <w:r>
              <w:rPr>
                <w:rFonts w:ascii="Times New Roman" w:hAnsi="Times New Roman" w:eastAsia="Times New Roman"/>
                <w:b w:val="0"/>
                <w:sz w:val="16"/>
              </w:rPr>
              <w:t>JHB FAMILY sp. z o.o.</w:t>
            </w:r>
          </w:p>
        </w:tc>
      </w:tr>
      <w:tr>
        <w:tc>
          <w:tcPr>
            <w:tcW w:type="dxa" w:w="5270"/>
          </w:tcPr>
          <w:p>
            <w:r/>
            <w:r>
              <w:rPr>
                <w:rFonts w:ascii="Times New Roman" w:hAnsi="Times New Roman" w:eastAsia="Times New Roman"/>
                <w:b/>
                <w:sz w:val="16"/>
              </w:rPr>
              <w:t>Okres / zakres obowiązywania</w:t>
            </w:r>
          </w:p>
        </w:tc>
        <w:tc>
          <w:tcPr>
            <w:tcW w:type="dxa" w:w="5270"/>
          </w:tcPr>
          <w:p>
            <w:r/>
            <w:r>
              <w:rPr>
                <w:rFonts w:ascii="Times New Roman" w:hAnsi="Times New Roman" w:eastAsia="Times New Roman"/>
                <w:b w:val="0"/>
                <w:sz w:val="16"/>
              </w:rPr>
              <w:t>od ____ / ____ / ______ do odwołania albo aktualizacji</w:t>
            </w:r>
          </w:p>
        </w:tc>
      </w:tr>
    </w:tbl>
    <w:p>
      <w:pPr>
        <w:jc w:val="center"/>
      </w:pPr>
      <w:r>
        <w:rPr>
          <w:rFonts w:ascii="Times New Roman" w:hAnsi="Times New Roman"/>
          <w:b/>
          <w:sz w:val="20"/>
        </w:rPr>
        <w:t>§ 1. Cel procedury</w:t>
      </w:r>
    </w:p>
    <w:p>
      <w:pPr>
        <w:jc w:val="both"/>
      </w:pPr>
      <w:r>
        <w:rPr>
          <w:rFonts w:ascii="Times New Roman" w:hAnsi="Times New Roman"/>
          <w:sz w:val="18"/>
        </w:rPr>
        <w:t>Procedura określa jednolite zasady obsługi zwrotów produktów FIXON przekazanych lub sprzedanych Partnerowi w ramach Programu Partnerskiego, w tym produktów z magazynu startowego, produktów objętych wsparciem magazynowym, produktów zamówionych indywidualnie, elementów ekspozycyjnych, narzędzi testowych oraz innych produktów lub materiałów przekazanych Partnerowi. Celem procedury jest uporządkowanie obiegu informacji, ograniczenie rozbieżności magazynowych, prawidłowe rozliczenie zwrotów oraz zapewnienie, że zwrot nie narusza wartości marki, jakości produktu ani zasad współpracy.</w:t>
      </w:r>
    </w:p>
    <w:p>
      <w:pPr>
        <w:jc w:val="center"/>
      </w:pPr>
      <w:r>
        <w:rPr>
          <w:rFonts w:ascii="Times New Roman" w:hAnsi="Times New Roman"/>
          <w:b/>
          <w:sz w:val="20"/>
        </w:rPr>
        <w:t>§ 2. Zakres zastosowania</w:t>
      </w:r>
    </w:p>
    <w:p>
      <w:pPr>
        <w:jc w:val="both"/>
      </w:pPr>
      <w:r>
        <w:rPr>
          <w:rFonts w:ascii="Times New Roman" w:hAnsi="Times New Roman"/>
          <w:sz w:val="18"/>
        </w:rPr>
        <w:t>Procedura ma zastosowanie do zwrotów towaru dokonywanych przez Partnera do Dostawcy albo do miejsca wskazanego przez Dostawcę lub Pośrednika. Procedura obejmuje zwroty wynikające z zakończenia współpracy, aktualizacji listy produktów, wymiany ekspozycji, korekty stanów magazynowych, błędnego wydania, przesunięcia produktów, decyzji Dostawcy, uznanej reklamacji, wycofania produktu z oferty albo innych uzgodnionych okoliczności. Procedura nie zastępuje Procedury Reklamacyjnej FIXON, jeżeli podstawą zwrotu jest wada produktu zgłaszana przez klienta końcowego.</w:t>
      </w:r>
    </w:p>
    <w:p>
      <w:pPr>
        <w:jc w:val="center"/>
      </w:pPr>
      <w:r>
        <w:rPr>
          <w:rFonts w:ascii="Times New Roman" w:hAnsi="Times New Roman"/>
          <w:b/>
          <w:sz w:val="20"/>
        </w:rPr>
        <w:t>§ 3. Zgłoszenie zwrotu</w:t>
      </w:r>
    </w:p>
    <w:p>
      <w:pPr>
        <w:jc w:val="both"/>
      </w:pPr>
      <w:r>
        <w:rPr>
          <w:rFonts w:ascii="Times New Roman" w:hAnsi="Times New Roman"/>
          <w:sz w:val="18"/>
        </w:rPr>
        <w:t>Zwrot powinien zostać zgłoszony przed odesłaniem towaru. Zgłoszenie powinno wskazywać Partnera, osobę kontaktową, numer dokumentu, przyczynę zwrotu, listę produktów, ilości, stan produktów, numery faktur lub dokumentów przekazania, proponowany sposób odbioru oraz informację, czy zwrot dotyczy produktu sprzedanego, magazynowego, ekspozycyjnego, testowego, demonstracyjnego, premierowego albo innego. Zwrot niezgłoszony może zostać przyjęty warunkowo albo odesłany do Partnera na jego koszt, jeżeli nie będzie możliwe ustalenie podstawy zwrotu.</w:t>
      </w:r>
    </w:p>
    <w:p>
      <w:pPr>
        <w:jc w:val="center"/>
      </w:pPr>
      <w:r>
        <w:rPr>
          <w:rFonts w:ascii="Times New Roman" w:hAnsi="Times New Roman"/>
          <w:b/>
          <w:sz w:val="20"/>
        </w:rPr>
        <w:t>§ 4. Akceptacja zwrotu</w:t>
      </w:r>
    </w:p>
    <w:p>
      <w:pPr>
        <w:jc w:val="both"/>
      </w:pPr>
      <w:r>
        <w:rPr>
          <w:rFonts w:ascii="Times New Roman" w:hAnsi="Times New Roman"/>
          <w:sz w:val="18"/>
        </w:rPr>
        <w:t>Zwrot wymaga akceptacji Dostawcy albo Pośrednika działającego w zakresie obsługi współpracy, chyba że zwrot wynika bezpośrednio z wcześniejszego pisemnego polecenia Dostawcy. Akceptacja zwrotu może nastąpić w formie dokumentowej, w szczególności pocztą elektroniczną, przez system CRM, system B2B albo komunikator. Akceptacja zwrotu nie oznacza automatycznego uznania wartości rozliczeniowej zwrotu, która może zależeć od stanu produktu, kompletności, opakowania, dokumentów i przyczyny zwrotu.</w:t>
      </w:r>
    </w:p>
    <w:p>
      <w:pPr>
        <w:jc w:val="center"/>
      </w:pPr>
      <w:r>
        <w:rPr>
          <w:rFonts w:ascii="Times New Roman" w:hAnsi="Times New Roman"/>
          <w:b/>
          <w:sz w:val="20"/>
        </w:rPr>
        <w:t>§ 5. Warunki przyjęcia towaru</w:t>
      </w:r>
    </w:p>
    <w:p>
      <w:pPr>
        <w:jc w:val="both"/>
      </w:pPr>
      <w:r>
        <w:rPr>
          <w:rFonts w:ascii="Times New Roman" w:hAnsi="Times New Roman"/>
          <w:sz w:val="18"/>
        </w:rPr>
        <w:t>Towar zwracany powinien być kompletny, czysty, zabezpieczony do transportu i opisany w sposób umożliwiający identyfikację produktu oraz Partnera. Produkt powinien posiadać wszystkie elementy, akcesoria, oznaczenia i dokumenty, które były przekazane wraz z produktem, o ile ich brak nie wynika z normalnego użycia zaakceptowanego przez Dostawcę. Produkty uszkodzone, niekompletne, nadmiernie zużyte, zniszczone, zmodyfikowane, pozbawione oznaczeń albo zwrócone bez wymaganych informacji mogą zostać przyjęte z zastrzeżeniem, rozliczone w niższej wartości albo nieprzyjęte.</w:t>
      </w:r>
    </w:p>
    <w:p>
      <w:pPr>
        <w:jc w:val="center"/>
      </w:pPr>
      <w:r>
        <w:rPr>
          <w:rFonts w:ascii="Times New Roman" w:hAnsi="Times New Roman"/>
          <w:b/>
          <w:sz w:val="20"/>
        </w:rPr>
        <w:t>§ 6. Koszty transportu i ryzyko</w:t>
      </w:r>
    </w:p>
    <w:p>
      <w:pPr>
        <w:jc w:val="both"/>
      </w:pPr>
      <w:r>
        <w:rPr>
          <w:rFonts w:ascii="Times New Roman" w:hAnsi="Times New Roman"/>
          <w:sz w:val="18"/>
        </w:rPr>
        <w:t>Koszty transportu zwracanego towaru ponosi Partner, chyba że przyczyna zwrotu leży po stronie Dostawcy albo Strony uzgodnią inaczej w formie dokumentowej. Ryzyko utraty, uszkodzenia albo zniszczenia towaru podczas transportu do miejsca wskazanego przez Dostawcę ponosi podmiot organizujący transport, chyba że Strony uzgodnią inny sposób odbioru. Partner powinien zabezpieczyć towar w sposób odpowiedni do jego rodzaju, wartości i wagi.</w:t>
      </w:r>
    </w:p>
    <w:p>
      <w:pPr>
        <w:jc w:val="center"/>
      </w:pPr>
      <w:r>
        <w:rPr>
          <w:rFonts w:ascii="Times New Roman" w:hAnsi="Times New Roman"/>
          <w:b/>
          <w:sz w:val="20"/>
        </w:rPr>
        <w:t>§ 7. Weryfikacja zwrotu</w:t>
      </w:r>
    </w:p>
    <w:p>
      <w:pPr>
        <w:jc w:val="both"/>
      </w:pPr>
      <w:r>
        <w:rPr>
          <w:rFonts w:ascii="Times New Roman" w:hAnsi="Times New Roman"/>
          <w:sz w:val="18"/>
        </w:rPr>
        <w:t>Po otrzymaniu towaru Dostawca albo osoba przez niego wskazana dokonuje weryfikacji ilościowej i jakościowej zwrotu. Weryfikacja może obejmować sprawdzenie zgodności z dokumentem zwrotu, kompletności, stanu opakowania, stanu technicznego, śladów użycia, uszkodzeń, zabrudzeń, modyfikacji, oznaczeń, numerów produktów oraz zgodności z dokumentami sprzedaży albo przekazania. Wynik weryfikacji może zostać opisany w protokole, wiadomości mailowej, notatce systemowej albo innym dokumencie.</w:t>
      </w:r>
    </w:p>
    <w:p>
      <w:pPr>
        <w:jc w:val="center"/>
      </w:pPr>
      <w:r>
        <w:rPr>
          <w:rFonts w:ascii="Times New Roman" w:hAnsi="Times New Roman"/>
          <w:b/>
          <w:sz w:val="20"/>
        </w:rPr>
        <w:t>§ 8. Rozliczenie zwrotu</w:t>
      </w:r>
    </w:p>
    <w:p>
      <w:pPr>
        <w:jc w:val="both"/>
      </w:pPr>
      <w:r>
        <w:rPr>
          <w:rFonts w:ascii="Times New Roman" w:hAnsi="Times New Roman"/>
          <w:sz w:val="18"/>
        </w:rPr>
        <w:t>Zwrot zaakceptowany i przyjęty bez zastrzeżeń może zostać rozliczony przez korektę faktury, korektę stanów magazynowych, wymianę produktu, pomniejszenie kolejnego rozliczenia, aktualizację raportu albo w inny sposób uzgodniony przez Strony. Zwrot produktu uszkodzonego, niekompletnego, nadmiernie zużytego albo zwróconego z przyczyn leżących po stronie Partnera może zostać rozliczony z potrąceniem wartości, według zasad określonych w Programie Partnerskim, Cenniku, Protokole Przekazania albo indywidualnej decyzji Dostawcy.</w:t>
      </w:r>
    </w:p>
    <w:p>
      <w:pPr>
        <w:jc w:val="center"/>
      </w:pPr>
      <w:r>
        <w:rPr>
          <w:rFonts w:ascii="Times New Roman" w:hAnsi="Times New Roman"/>
          <w:b/>
          <w:sz w:val="20"/>
        </w:rPr>
        <w:t>§ 9. Zwrot przy zakończeniu współpracy</w:t>
      </w:r>
    </w:p>
    <w:p>
      <w:pPr>
        <w:jc w:val="both"/>
      </w:pPr>
      <w:r>
        <w:rPr>
          <w:rFonts w:ascii="Times New Roman" w:hAnsi="Times New Roman"/>
          <w:sz w:val="18"/>
        </w:rPr>
        <w:t>W przypadku zakończenia współpracy Partner jest zobowiązany do przygotowania do zwrotu produktów, materiałów i elementów pozostających własnością Dostawcy, w szczególności produktów z magazynu startowego, produktów objętych wsparciem magazynowym, narzędzi testowych, elementów ekspozycji i materiałów marketingowych, chyba że Strony ustalą inne rozliczenie. Zwrot powinien zostać poprzedzony zestawieniem stanów, a w razie potrzeby także inwentaryzacją. Brak współpracy przy odbiorze albo zwrocie może skutkować rozliczeniem wartości przekazanych produktów zgodnie z Programem Partnerskim.</w:t>
      </w:r>
    </w:p>
    <w:p>
      <w:pPr>
        <w:jc w:val="center"/>
      </w:pPr>
      <w:r>
        <w:rPr>
          <w:rFonts w:ascii="Times New Roman" w:hAnsi="Times New Roman"/>
          <w:b/>
          <w:sz w:val="20"/>
        </w:rPr>
        <w:t>§ 10. Dokumentacja zwrotu</w:t>
      </w:r>
    </w:p>
    <w:p>
      <w:pPr>
        <w:jc w:val="both"/>
      </w:pPr>
      <w:r>
        <w:rPr>
          <w:rFonts w:ascii="Times New Roman" w:hAnsi="Times New Roman"/>
          <w:sz w:val="18"/>
        </w:rPr>
        <w:t>Do zwrotu mogą być wymagane: zgłoszenie zwrotu, zestawienie produktów, zdjęcia, opis stanu, dokument przekazania, numer faktury, numer raportu miesięcznego, protokół rozbieżności, protokół uszkodzenia albo inny dokument wskazany przez Dostawcę lub Pośrednika. Dokumentacja może być prowadzona w formie dokumentowej. Partner powinien przechowywać potwierdzenia nadania, odbioru oraz korespondencję dotyczącą zwrotu do czasu ostatecznego rozliczenia.</w:t>
      </w:r>
    </w:p>
    <w:p>
      <w:pPr>
        <w:jc w:val="center"/>
      </w:pPr>
      <w:r>
        <w:rPr>
          <w:rFonts w:ascii="Times New Roman" w:hAnsi="Times New Roman"/>
          <w:b/>
          <w:sz w:val="20"/>
        </w:rPr>
        <w:t>Tabela zwrotu towaru</w:t>
      </w:r>
    </w:p>
    <w:tbl>
      <w:tblPr>
        <w:tblStyle w:val="TableGrid"/>
        <w:tblW w:type="auto" w:w="0"/>
        <w:jc w:val="center"/>
        <w:tblLook w:firstColumn="1" w:firstRow="1" w:lastColumn="0" w:lastRow="0" w:noHBand="0" w:noVBand="1" w:val="04A0"/>
      </w:tblPr>
      <w:tblGrid>
        <w:gridCol w:w="1171"/>
        <w:gridCol w:w="1171"/>
        <w:gridCol w:w="1171"/>
        <w:gridCol w:w="1171"/>
        <w:gridCol w:w="1171"/>
        <w:gridCol w:w="1171"/>
        <w:gridCol w:w="1171"/>
        <w:gridCol w:w="1171"/>
        <w:gridCol w:w="1171"/>
      </w:tblGrid>
      <w:tr>
        <w:trPr>
          <w:tblHeader w:val="true"/>
        </w:trPr>
        <w:tc>
          <w:tcPr>
            <w:tcW w:type="dxa" w:w="1171"/>
            <w:shd w:fill="D9EAD3"/>
          </w:tcPr>
          <w:p>
            <w:r/>
            <w:r>
              <w:rPr>
                <w:rFonts w:ascii="Times New Roman" w:hAnsi="Times New Roman" w:eastAsia="Times New Roman"/>
                <w:b/>
                <w:sz w:val="14"/>
              </w:rPr>
              <w:t>Lp.</w:t>
            </w:r>
          </w:p>
        </w:tc>
        <w:tc>
          <w:tcPr>
            <w:tcW w:type="dxa" w:w="1171"/>
            <w:shd w:fill="D9EAD3"/>
          </w:tcPr>
          <w:p>
            <w:r/>
            <w:r>
              <w:rPr>
                <w:rFonts w:ascii="Times New Roman" w:hAnsi="Times New Roman" w:eastAsia="Times New Roman"/>
                <w:b/>
                <w:sz w:val="14"/>
              </w:rPr>
              <w:t>Nazwa produktu / elementu</w:t>
            </w:r>
          </w:p>
        </w:tc>
        <w:tc>
          <w:tcPr>
            <w:tcW w:type="dxa" w:w="1171"/>
            <w:shd w:fill="D9EAD3"/>
          </w:tcPr>
          <w:p>
            <w:r/>
            <w:r>
              <w:rPr>
                <w:rFonts w:ascii="Times New Roman" w:hAnsi="Times New Roman" w:eastAsia="Times New Roman"/>
                <w:b/>
                <w:sz w:val="14"/>
              </w:rPr>
              <w:t>Kod / SKU</w:t>
            </w:r>
          </w:p>
        </w:tc>
        <w:tc>
          <w:tcPr>
            <w:tcW w:type="dxa" w:w="1171"/>
            <w:shd w:fill="D9EAD3"/>
          </w:tcPr>
          <w:p>
            <w:r/>
            <w:r>
              <w:rPr>
                <w:rFonts w:ascii="Times New Roman" w:hAnsi="Times New Roman" w:eastAsia="Times New Roman"/>
                <w:b/>
                <w:sz w:val="14"/>
              </w:rPr>
              <w:t>Ilość</w:t>
            </w:r>
          </w:p>
        </w:tc>
        <w:tc>
          <w:tcPr>
            <w:tcW w:type="dxa" w:w="1171"/>
            <w:shd w:fill="D9EAD3"/>
          </w:tcPr>
          <w:p>
            <w:r/>
            <w:r>
              <w:rPr>
                <w:rFonts w:ascii="Times New Roman" w:hAnsi="Times New Roman" w:eastAsia="Times New Roman"/>
                <w:b/>
                <w:sz w:val="14"/>
              </w:rPr>
              <w:t>Status produktu</w:t>
            </w:r>
          </w:p>
        </w:tc>
        <w:tc>
          <w:tcPr>
            <w:tcW w:type="dxa" w:w="1171"/>
            <w:shd w:fill="D9EAD3"/>
          </w:tcPr>
          <w:p>
            <w:r/>
            <w:r>
              <w:rPr>
                <w:rFonts w:ascii="Times New Roman" w:hAnsi="Times New Roman" w:eastAsia="Times New Roman"/>
                <w:b/>
                <w:sz w:val="14"/>
              </w:rPr>
              <w:t>Powód zwrotu</w:t>
            </w:r>
          </w:p>
        </w:tc>
        <w:tc>
          <w:tcPr>
            <w:tcW w:type="dxa" w:w="1171"/>
            <w:shd w:fill="D9EAD3"/>
          </w:tcPr>
          <w:p>
            <w:r/>
            <w:r>
              <w:rPr>
                <w:rFonts w:ascii="Times New Roman" w:hAnsi="Times New Roman" w:eastAsia="Times New Roman"/>
                <w:b/>
                <w:sz w:val="14"/>
              </w:rPr>
              <w:t>Stan produktu</w:t>
            </w:r>
          </w:p>
        </w:tc>
        <w:tc>
          <w:tcPr>
            <w:tcW w:type="dxa" w:w="1171"/>
            <w:shd w:fill="D9EAD3"/>
          </w:tcPr>
          <w:p>
            <w:r/>
            <w:r>
              <w:rPr>
                <w:rFonts w:ascii="Times New Roman" w:hAnsi="Times New Roman" w:eastAsia="Times New Roman"/>
                <w:b/>
                <w:sz w:val="14"/>
              </w:rPr>
              <w:t>Wartość brutto</w:t>
            </w:r>
          </w:p>
        </w:tc>
        <w:tc>
          <w:tcPr>
            <w:tcW w:type="dxa" w:w="1171"/>
            <w:shd w:fill="D9EAD3"/>
          </w:tcPr>
          <w:p>
            <w:r/>
            <w:r>
              <w:rPr>
                <w:rFonts w:ascii="Times New Roman" w:hAnsi="Times New Roman" w:eastAsia="Times New Roman"/>
                <w:b/>
                <w:sz w:val="14"/>
              </w:rPr>
              <w:t>Decyzja</w:t>
            </w:r>
          </w:p>
        </w:tc>
      </w:tr>
      <w:tr>
        <w:tc>
          <w:tcPr>
            <w:tcW w:type="dxa" w:w="1171"/>
          </w:tcPr>
          <w:p>
            <w:r/>
            <w:r>
              <w:rPr>
                <w:rFonts w:ascii="Times New Roman" w:hAnsi="Times New Roman" w:eastAsia="Times New Roman"/>
                <w:b w:val="0"/>
                <w:sz w:val="14"/>
              </w:rPr>
              <w:t>1</w:t>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r>
      <w:tr>
        <w:tc>
          <w:tcPr>
            <w:tcW w:type="dxa" w:w="1171"/>
          </w:tcPr>
          <w:p>
            <w:r/>
            <w:r>
              <w:rPr>
                <w:rFonts w:ascii="Times New Roman" w:hAnsi="Times New Roman" w:eastAsia="Times New Roman"/>
                <w:b w:val="0"/>
                <w:sz w:val="14"/>
              </w:rPr>
              <w:t>2</w:t>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r>
      <w:tr>
        <w:tc>
          <w:tcPr>
            <w:tcW w:type="dxa" w:w="1171"/>
          </w:tcPr>
          <w:p>
            <w:r/>
            <w:r>
              <w:rPr>
                <w:rFonts w:ascii="Times New Roman" w:hAnsi="Times New Roman" w:eastAsia="Times New Roman"/>
                <w:b w:val="0"/>
                <w:sz w:val="14"/>
              </w:rPr>
              <w:t>3</w:t>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r>
      <w:tr>
        <w:tc>
          <w:tcPr>
            <w:tcW w:type="dxa" w:w="1171"/>
          </w:tcPr>
          <w:p>
            <w:r/>
            <w:r>
              <w:rPr>
                <w:rFonts w:ascii="Times New Roman" w:hAnsi="Times New Roman" w:eastAsia="Times New Roman"/>
                <w:b w:val="0"/>
                <w:sz w:val="14"/>
              </w:rPr>
              <w:t>4</w:t>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r>
      <w:tr>
        <w:tc>
          <w:tcPr>
            <w:tcW w:type="dxa" w:w="1171"/>
          </w:tcPr>
          <w:p>
            <w:r/>
            <w:r>
              <w:rPr>
                <w:rFonts w:ascii="Times New Roman" w:hAnsi="Times New Roman" w:eastAsia="Times New Roman"/>
                <w:b w:val="0"/>
                <w:sz w:val="14"/>
              </w:rPr>
              <w:t>5</w:t>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r>
      <w:tr>
        <w:tc>
          <w:tcPr>
            <w:tcW w:type="dxa" w:w="1171"/>
          </w:tcPr>
          <w:p>
            <w:r/>
            <w:r>
              <w:rPr>
                <w:rFonts w:ascii="Times New Roman" w:hAnsi="Times New Roman" w:eastAsia="Times New Roman"/>
                <w:b w:val="0"/>
                <w:sz w:val="14"/>
              </w:rPr>
              <w:t>6</w:t>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r>
      <w:tr>
        <w:tc>
          <w:tcPr>
            <w:tcW w:type="dxa" w:w="1171"/>
          </w:tcPr>
          <w:p>
            <w:r/>
            <w:r>
              <w:rPr>
                <w:rFonts w:ascii="Times New Roman" w:hAnsi="Times New Roman" w:eastAsia="Times New Roman"/>
                <w:b w:val="0"/>
                <w:sz w:val="14"/>
              </w:rPr>
              <w:t>7</w:t>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c>
          <w:tcPr>
            <w:tcW w:type="dxa" w:w="1171"/>
          </w:tcPr>
          <w:p>
            <w:r/>
            <w:r>
              <w:rPr>
                <w:rFonts w:ascii="Times New Roman" w:hAnsi="Times New Roman" w:eastAsia="Times New Roman"/>
                <w:b w:val="0"/>
                <w:sz w:val="14"/>
              </w:rPr>
            </w:r>
          </w:p>
        </w:tc>
      </w:tr>
    </w:tbl>
    <w:p>
      <w:pPr>
        <w:jc w:val="center"/>
      </w:pPr>
      <w:r>
        <w:rPr>
          <w:rFonts w:ascii="Times New Roman" w:hAnsi="Times New Roman"/>
          <w:b/>
          <w:sz w:val="20"/>
        </w:rPr>
        <w:t>Klauzula zastrzeżeń i zatwierdzenia</w:t>
      </w:r>
    </w:p>
    <w:p>
      <w:pPr>
        <w:jc w:val="both"/>
      </w:pPr>
      <w:r>
        <w:rPr>
          <w:rFonts w:ascii="Times New Roman" w:hAnsi="Times New Roman"/>
          <w:sz w:val="17"/>
        </w:rPr>
        <w:t>Niniejszy dokument zostaje przekazany Partnerowi w ramach Programu Partnerskiego FIXON. Partner może zgłosić zastrzeżenia do treści dokumentu w terminie 7 dni od dnia jego dostarczenia. Brak zgłoszenia zastrzeżeń w tym terminie oznacza przyjęcie dokumentu do wiadomości i stosowania w bieżącej współpracy. W przypadku zgłoszenia zastrzeżeń dokument nie zostaje przyjęty w trybie braku zastrzeżeń w zakresie objętym zgłoszeniem, a końcowa uzgodniona wersja wymaga zatwierdzenia przez obie Strony w formie podpisów osobistych albo podpisów elektronicznych zaakceptowanych przez Strony, chyba że Strony wyraźnie uzgodnią inną formę zatwierdzenia w korespondencji dokumentowej.</w:t>
      </w:r>
    </w:p>
    <w:p>
      <w:pPr>
        <w:jc w:val="center"/>
      </w:pPr>
      <w:r>
        <w:rPr>
          <w:rFonts w:ascii="Times New Roman" w:hAnsi="Times New Roman"/>
          <w:b/>
          <w:sz w:val="20"/>
        </w:rPr>
        <w:t>Podpisy / zatwierdzenie końcowej wersji</w:t>
      </w:r>
    </w:p>
    <w:tbl>
      <w:tblPr>
        <w:tblStyle w:val="TableGrid"/>
        <w:tblW w:type="auto" w:w="0"/>
        <w:jc w:val="center"/>
        <w:tblLook w:firstColumn="1" w:firstRow="1" w:lastColumn="0" w:lastRow="0" w:noHBand="0" w:noVBand="1" w:val="04A0"/>
      </w:tblPr>
      <w:tblGrid>
        <w:gridCol w:w="3513"/>
        <w:gridCol w:w="3513"/>
        <w:gridCol w:w="3513"/>
      </w:tblGrid>
      <w:tr>
        <w:tc>
          <w:tcPr>
            <w:tcW w:type="dxa" w:w="3513"/>
            <w:shd w:fill="F2F2F2"/>
          </w:tcPr>
          <w:p>
            <w:r/>
            <w:r>
              <w:rPr>
                <w:rFonts w:ascii="Times New Roman" w:hAnsi="Times New Roman" w:eastAsia="Times New Roman"/>
                <w:b/>
                <w:sz w:val="16"/>
              </w:rPr>
              <w:t>Dostawca</w:t>
            </w:r>
          </w:p>
        </w:tc>
        <w:tc>
          <w:tcPr>
            <w:tcW w:type="dxa" w:w="3513"/>
            <w:shd w:fill="F2F2F2"/>
          </w:tcPr>
          <w:p>
            <w:r/>
            <w:r>
              <w:rPr>
                <w:rFonts w:ascii="Times New Roman" w:hAnsi="Times New Roman" w:eastAsia="Times New Roman"/>
                <w:b/>
                <w:sz w:val="16"/>
              </w:rPr>
              <w:t>Partner</w:t>
            </w:r>
          </w:p>
        </w:tc>
        <w:tc>
          <w:tcPr>
            <w:tcW w:type="dxa" w:w="3513"/>
            <w:shd w:fill="F2F2F2"/>
          </w:tcPr>
          <w:p>
            <w:r/>
            <w:r>
              <w:rPr>
                <w:rFonts w:ascii="Times New Roman" w:hAnsi="Times New Roman" w:eastAsia="Times New Roman"/>
                <w:b/>
                <w:sz w:val="16"/>
              </w:rPr>
              <w:t>Pośrednik</w:t>
            </w:r>
          </w:p>
        </w:tc>
      </w:tr>
      <w:tr>
        <w:tc>
          <w:tcPr>
            <w:tcW w:type="dxa" w:w="3513"/>
            <w:vAlign w:val="center"/>
          </w:tcPr>
          <w:p>
            <w:r/>
            <w:r>
              <w:rPr>
                <w:rFonts w:ascii="Times New Roman" w:hAnsi="Times New Roman" w:eastAsia="Times New Roman"/>
                <w:b w:val="0"/>
                <w:sz w:val="16"/>
              </w:rPr>
              <w:br/>
              <w:br/>
              <w:t>........................................</w:t>
              <w:br/>
              <w:t>Data i podpis / podpis elektroniczny</w:t>
            </w:r>
          </w:p>
        </w:tc>
        <w:tc>
          <w:tcPr>
            <w:tcW w:type="dxa" w:w="3513"/>
            <w:vAlign w:val="center"/>
          </w:tcPr>
          <w:p>
            <w:r/>
            <w:r>
              <w:rPr>
                <w:rFonts w:ascii="Times New Roman" w:hAnsi="Times New Roman" w:eastAsia="Times New Roman"/>
                <w:b w:val="0"/>
                <w:sz w:val="16"/>
              </w:rPr>
              <w:br/>
              <w:br/>
              <w:t>........................................</w:t>
              <w:br/>
              <w:t>Data i podpis / podpis elektroniczny</w:t>
            </w:r>
          </w:p>
        </w:tc>
        <w:tc>
          <w:tcPr>
            <w:tcW w:type="dxa" w:w="3513"/>
            <w:vAlign w:val="center"/>
          </w:tcPr>
          <w:p>
            <w:r/>
            <w:r>
              <w:rPr>
                <w:rFonts w:ascii="Times New Roman" w:hAnsi="Times New Roman" w:eastAsia="Times New Roman"/>
                <w:b w:val="0"/>
                <w:sz w:val="16"/>
              </w:rPr>
              <w:br/>
              <w:br/>
              <w:t>........................................</w:t>
              <w:br/>
              <w:t>Data i podpis / podpis elektroniczny</w:t>
            </w:r>
          </w:p>
        </w:tc>
      </w:tr>
    </w:tbl>
    <w:sectPr w:rsidR="00FC693F" w:rsidRPr="0006063C" w:rsidSect="00034616">
      <w:headerReference w:type="default" r:id="rId9"/>
      <w:footerReference w:type="default" r:id="rId10"/>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Dokument programowy FIXON – wersja do stosowania w ramach Programu Partnerskiego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FIXON | Załącznik nr 11 | Procedura Zwrotu Towaru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