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ZAŁĄCZNIK NR 16</w:t>
        <w:br/>
        <w:t>REGULAMIN PRODUKTÓW TESTOWYCH I PREMIEROWYCH FIXON</w:t>
      </w:r>
    </w:p>
    <w:tbl>
      <w:tblPr>
        <w:tblStyle w:val="TableGrid"/>
        <w:tblW w:type="auto" w:w="0"/>
        <w:jc w:val="center"/>
        <w:tblLook w:firstColumn="1" w:firstRow="1" w:lastColumn="0" w:lastRow="0" w:noHBand="0" w:noVBand="1" w:val="04A0"/>
      </w:tblPr>
      <w:tblGrid>
        <w:gridCol w:w="5355"/>
        <w:gridCol w:w="5355"/>
      </w:tblGrid>
      <w:tr>
        <w:trPr>
          <w:tblHeader w:val="true"/>
        </w:trPr>
        <w:tc>
          <w:tcPr>
            <w:tcW w:type="dxa" w:w="2381"/>
            <w:vAlign w:val="center"/>
            <w:shd w:fill="D9EAF7"/>
          </w:tcPr>
          <w:p>
            <w:pPr>
              <w:spacing w:after="0" w:before="0"/>
            </w:pPr>
            <w:r/>
            <w:r>
              <w:rPr>
                <w:rFonts w:ascii="Times New Roman" w:hAnsi="Times New Roman"/>
                <w:b/>
                <w:sz w:val="15"/>
              </w:rPr>
              <w:t>Pole</w:t>
            </w:r>
          </w:p>
        </w:tc>
        <w:tc>
          <w:tcPr>
            <w:tcW w:type="dxa" w:w="7257"/>
            <w:vAlign w:val="center"/>
            <w:shd w:fill="D9EAF7"/>
          </w:tcPr>
          <w:p>
            <w:pPr>
              <w:spacing w:after="0" w:before="0"/>
            </w:pPr>
            <w:r/>
            <w:r>
              <w:rPr>
                <w:rFonts w:ascii="Times New Roman" w:hAnsi="Times New Roman"/>
                <w:b/>
                <w:sz w:val="15"/>
              </w:rPr>
              <w:t>Treść</w:t>
            </w:r>
          </w:p>
        </w:tc>
      </w:tr>
      <w:tr>
        <w:tc>
          <w:tcPr>
            <w:tcW w:type="dxa" w:w="2381"/>
            <w:vAlign w:val="center"/>
          </w:tcPr>
          <w:p>
            <w:pPr>
              <w:spacing w:after="0" w:before="0"/>
            </w:pPr>
            <w:r/>
            <w:r>
              <w:rPr>
                <w:rFonts w:ascii="Times New Roman" w:hAnsi="Times New Roman"/>
                <w:b w:val="0"/>
                <w:sz w:val="14"/>
              </w:rPr>
              <w:t>Nazwa dokumentu</w:t>
            </w:r>
          </w:p>
        </w:tc>
        <w:tc>
          <w:tcPr>
            <w:tcW w:type="dxa" w:w="7257"/>
            <w:vAlign w:val="center"/>
          </w:tcPr>
          <w:p>
            <w:pPr>
              <w:spacing w:after="0" w:before="0"/>
            </w:pPr>
            <w:r/>
            <w:r>
              <w:rPr>
                <w:rFonts w:ascii="Times New Roman" w:hAnsi="Times New Roman"/>
                <w:b w:val="0"/>
                <w:sz w:val="14"/>
              </w:rPr>
              <w:t>Regulamin Produktów Testowych i Premierowych FIXON</w:t>
            </w:r>
          </w:p>
        </w:tc>
      </w:tr>
      <w:tr>
        <w:tc>
          <w:tcPr>
            <w:tcW w:type="dxa" w:w="2381"/>
            <w:vAlign w:val="center"/>
          </w:tcPr>
          <w:p>
            <w:pPr>
              <w:spacing w:after="0" w:before="0"/>
            </w:pPr>
            <w:r/>
            <w:r>
              <w:rPr>
                <w:rFonts w:ascii="Times New Roman" w:hAnsi="Times New Roman"/>
                <w:b w:val="0"/>
                <w:sz w:val="14"/>
              </w:rPr>
              <w:t>Wersja</w:t>
            </w:r>
          </w:p>
        </w:tc>
        <w:tc>
          <w:tcPr>
            <w:tcW w:type="dxa" w:w="7257"/>
            <w:vAlign w:val="center"/>
          </w:tcPr>
          <w:p>
            <w:pPr>
              <w:spacing w:after="0" w:before="0"/>
            </w:pPr>
            <w:r/>
            <w:r>
              <w:rPr>
                <w:rFonts w:ascii="Times New Roman" w:hAnsi="Times New Roman"/>
                <w:b w:val="0"/>
                <w:sz w:val="14"/>
              </w:rPr>
              <w:t>[●]</w:t>
            </w:r>
          </w:p>
        </w:tc>
      </w:tr>
      <w:tr>
        <w:tc>
          <w:tcPr>
            <w:tcW w:type="dxa" w:w="2381"/>
            <w:vAlign w:val="center"/>
          </w:tcPr>
          <w:p>
            <w:pPr>
              <w:spacing w:after="0" w:before="0"/>
            </w:pPr>
            <w:r/>
            <w:r>
              <w:rPr>
                <w:rFonts w:ascii="Times New Roman" w:hAnsi="Times New Roman"/>
                <w:b w:val="0"/>
                <w:sz w:val="14"/>
              </w:rPr>
              <w:t>Data przekazania Partnerowi</w:t>
            </w:r>
          </w:p>
        </w:tc>
        <w:tc>
          <w:tcPr>
            <w:tcW w:type="dxa" w:w="7257"/>
            <w:vAlign w:val="center"/>
          </w:tcPr>
          <w:p>
            <w:pPr>
              <w:spacing w:after="0" w:before="0"/>
            </w:pPr>
            <w:r/>
            <w:r>
              <w:rPr>
                <w:rFonts w:ascii="Times New Roman" w:hAnsi="Times New Roman"/>
                <w:b w:val="0"/>
                <w:sz w:val="14"/>
              </w:rPr>
              <w:t>[●]</w:t>
            </w:r>
          </w:p>
        </w:tc>
      </w:tr>
      <w:tr>
        <w:tc>
          <w:tcPr>
            <w:tcW w:type="dxa" w:w="2381"/>
            <w:vAlign w:val="center"/>
          </w:tcPr>
          <w:p>
            <w:pPr>
              <w:spacing w:after="0" w:before="0"/>
            </w:pPr>
            <w:r/>
            <w:r>
              <w:rPr>
                <w:rFonts w:ascii="Times New Roman" w:hAnsi="Times New Roman"/>
                <w:b w:val="0"/>
                <w:sz w:val="14"/>
              </w:rPr>
              <w:t>Partner</w:t>
            </w:r>
          </w:p>
        </w:tc>
        <w:tc>
          <w:tcPr>
            <w:tcW w:type="dxa" w:w="7257"/>
            <w:vAlign w:val="center"/>
          </w:tcPr>
          <w:p>
            <w:pPr>
              <w:spacing w:after="0" w:before="0"/>
            </w:pPr>
            <w:r/>
            <w:r>
              <w:rPr>
                <w:rFonts w:ascii="Times New Roman" w:hAnsi="Times New Roman"/>
                <w:b w:val="0"/>
                <w:sz w:val="14"/>
              </w:rPr>
              <w:t>[pełna nazwa Partnera]</w:t>
            </w:r>
          </w:p>
        </w:tc>
      </w:tr>
      <w:tr>
        <w:tc>
          <w:tcPr>
            <w:tcW w:type="dxa" w:w="2381"/>
            <w:vAlign w:val="center"/>
          </w:tcPr>
          <w:p>
            <w:pPr>
              <w:spacing w:after="0" w:before="0"/>
            </w:pPr>
            <w:r/>
            <w:r>
              <w:rPr>
                <w:rFonts w:ascii="Times New Roman" w:hAnsi="Times New Roman"/>
                <w:b w:val="0"/>
                <w:sz w:val="14"/>
              </w:rPr>
              <w:t>Dostawca</w:t>
            </w:r>
          </w:p>
        </w:tc>
        <w:tc>
          <w:tcPr>
            <w:tcW w:type="dxa" w:w="7257"/>
            <w:vAlign w:val="center"/>
          </w:tcPr>
          <w:p>
            <w:pPr>
              <w:spacing w:after="0" w:before="0"/>
            </w:pPr>
            <w:r/>
            <w:r>
              <w:rPr>
                <w:rFonts w:ascii="Times New Roman" w:hAnsi="Times New Roman"/>
                <w:b w:val="0"/>
                <w:sz w:val="14"/>
              </w:rPr>
              <w:t>FIXON IRYNA MUKOSII</w:t>
            </w:r>
          </w:p>
        </w:tc>
      </w:tr>
      <w:tr>
        <w:tc>
          <w:tcPr>
            <w:tcW w:type="dxa" w:w="2381"/>
            <w:vAlign w:val="center"/>
          </w:tcPr>
          <w:p>
            <w:pPr>
              <w:spacing w:after="0" w:before="0"/>
            </w:pPr>
            <w:r/>
            <w:r>
              <w:rPr>
                <w:rFonts w:ascii="Times New Roman" w:hAnsi="Times New Roman"/>
                <w:b w:val="0"/>
                <w:sz w:val="14"/>
              </w:rPr>
              <w:t>Pośrednik</w:t>
            </w:r>
          </w:p>
        </w:tc>
        <w:tc>
          <w:tcPr>
            <w:tcW w:type="dxa" w:w="7257"/>
            <w:vAlign w:val="center"/>
          </w:tcPr>
          <w:p>
            <w:pPr>
              <w:spacing w:after="0" w:before="0"/>
            </w:pPr>
            <w:r/>
            <w:r>
              <w:rPr>
                <w:rFonts w:ascii="Times New Roman" w:hAnsi="Times New Roman"/>
                <w:b w:val="0"/>
                <w:sz w:val="14"/>
              </w:rPr>
              <w:t>JHB FAMILY sp. z o.o.</w:t>
            </w:r>
          </w:p>
        </w:tc>
      </w:tr>
      <w:tr>
        <w:tc>
          <w:tcPr>
            <w:tcW w:type="dxa" w:w="2381"/>
            <w:vAlign w:val="center"/>
          </w:tcPr>
          <w:p>
            <w:pPr>
              <w:spacing w:after="0" w:before="0"/>
            </w:pPr>
            <w:r/>
            <w:r>
              <w:rPr>
                <w:rFonts w:ascii="Times New Roman" w:hAnsi="Times New Roman"/>
                <w:b w:val="0"/>
                <w:sz w:val="14"/>
              </w:rPr>
              <w:t>Podstawa stosowania</w:t>
            </w:r>
          </w:p>
        </w:tc>
        <w:tc>
          <w:tcPr>
            <w:tcW w:type="dxa" w:w="7257"/>
            <w:vAlign w:val="center"/>
          </w:tcPr>
          <w:p>
            <w:pPr>
              <w:spacing w:after="0" w:before="0"/>
            </w:pPr>
            <w:r/>
            <w:r>
              <w:rPr>
                <w:rFonts w:ascii="Times New Roman" w:hAnsi="Times New Roman"/>
                <w:b w:val="0"/>
                <w:sz w:val="14"/>
              </w:rPr>
              <w:t>Program Partnerski FIXON / Karta Partnera / Karta Uprawnienia Strategicznego / Karta Centrum Demonstracyjnego</w:t>
            </w:r>
          </w:p>
        </w:tc>
      </w:tr>
    </w:tbl>
    <w:p/>
    <w:p>
      <w:pPr>
        <w:pStyle w:val="Heading1"/>
        <w:jc w:val="center"/>
      </w:pPr>
      <w:r>
        <w:rPr>
          <w:rFonts w:ascii="Times New Roman" w:hAnsi="Times New Roman"/>
          <w:b/>
          <w:sz w:val="24"/>
        </w:rPr>
        <w:t>§ 1. Cel i charakter regulaminu</w:t>
      </w:r>
    </w:p>
    <w:p>
      <w:pPr>
        <w:spacing w:after="80" w:line="252" w:lineRule="auto"/>
        <w:jc w:val="both"/>
      </w:pPr>
      <w:r>
        <w:rPr>
          <w:rFonts w:ascii="Times New Roman" w:hAnsi="Times New Roman"/>
          <w:sz w:val="19"/>
        </w:rPr>
        <w:t>1. Regulamin określa zasady udostępniania, prezentowania, testowania, sprzedaży, raportowania i rozliczania produktów testowych oraz produktów premierowych FIXON przekazywanych Partnerowi w ramach Programu Partnerskiego FIXON.</w:t>
      </w:r>
    </w:p>
    <w:p>
      <w:pPr>
        <w:spacing w:after="80" w:line="252" w:lineRule="auto"/>
        <w:jc w:val="both"/>
      </w:pPr>
      <w:r>
        <w:rPr>
          <w:rFonts w:ascii="Times New Roman" w:hAnsi="Times New Roman"/>
          <w:sz w:val="19"/>
        </w:rPr>
        <w:t>2. Regulamin ma zastosowanie do produktów oznaczonych jako narzędzia testowe, produkty demonstracyjne, produkty premierowe, produkty przedpremierowe, próbki rynkowe, produkty wdrożeniowe oraz inne produkty przekazane Partnerowi w celu testowania, prezentacji, walidacji sprzedażowej lub ograniczonego wprowadzenia do obrotu.</w:t>
      </w:r>
    </w:p>
    <w:p>
      <w:pPr>
        <w:spacing w:after="80" w:line="252" w:lineRule="auto"/>
        <w:jc w:val="both"/>
      </w:pPr>
      <w:r>
        <w:rPr>
          <w:rFonts w:ascii="Times New Roman" w:hAnsi="Times New Roman"/>
          <w:sz w:val="19"/>
        </w:rPr>
        <w:t>3. Regulamin nie przenosi na Partnera własności produktów testowych, premierowych, demonstracyjnych ani ekspozycyjnych, chyba że w odrębnym dokumencie wyraźnie wskazano inaczej.</w:t>
      </w:r>
    </w:p>
    <w:p>
      <w:pPr>
        <w:pStyle w:val="Heading1"/>
        <w:jc w:val="center"/>
      </w:pPr>
      <w:r>
        <w:rPr>
          <w:rFonts w:ascii="Times New Roman" w:hAnsi="Times New Roman"/>
          <w:b/>
          <w:sz w:val="24"/>
        </w:rPr>
        <w:t>§ 2. Definicje robocze</w:t>
      </w:r>
    </w:p>
    <w:tbl>
      <w:tblPr>
        <w:tblStyle w:val="TableGrid"/>
        <w:tblW w:type="auto" w:w="0"/>
        <w:jc w:val="center"/>
        <w:tblLook w:firstColumn="1" w:firstRow="1" w:lastColumn="0" w:lastRow="0" w:noHBand="0" w:noVBand="1" w:val="04A0"/>
      </w:tblPr>
      <w:tblGrid>
        <w:gridCol w:w="5355"/>
        <w:gridCol w:w="5355"/>
      </w:tblGrid>
      <w:tr>
        <w:trPr>
          <w:tblHeader w:val="true"/>
        </w:trPr>
        <w:tc>
          <w:tcPr>
            <w:tcW w:type="dxa" w:w="2381"/>
            <w:vAlign w:val="center"/>
            <w:shd w:fill="D9EAF7"/>
          </w:tcPr>
          <w:p>
            <w:pPr>
              <w:spacing w:after="0" w:before="0"/>
            </w:pPr>
            <w:r/>
            <w:r>
              <w:rPr>
                <w:rFonts w:ascii="Times New Roman" w:hAnsi="Times New Roman"/>
                <w:b/>
                <w:sz w:val="15"/>
              </w:rPr>
              <w:t>Pojęcie</w:t>
            </w:r>
          </w:p>
        </w:tc>
        <w:tc>
          <w:tcPr>
            <w:tcW w:type="dxa" w:w="7257"/>
            <w:vAlign w:val="center"/>
            <w:shd w:fill="D9EAF7"/>
          </w:tcPr>
          <w:p>
            <w:pPr>
              <w:spacing w:after="0" w:before="0"/>
            </w:pPr>
            <w:r/>
            <w:r>
              <w:rPr>
                <w:rFonts w:ascii="Times New Roman" w:hAnsi="Times New Roman"/>
                <w:b/>
                <w:sz w:val="15"/>
              </w:rPr>
              <w:t>Znaczenie</w:t>
            </w:r>
          </w:p>
        </w:tc>
      </w:tr>
      <w:tr>
        <w:tc>
          <w:tcPr>
            <w:tcW w:type="dxa" w:w="2381"/>
            <w:vAlign w:val="center"/>
          </w:tcPr>
          <w:p>
            <w:pPr>
              <w:spacing w:after="0" w:before="0"/>
            </w:pPr>
            <w:r/>
            <w:r>
              <w:rPr>
                <w:rFonts w:ascii="Times New Roman" w:hAnsi="Times New Roman"/>
                <w:b w:val="0"/>
                <w:sz w:val="14"/>
              </w:rPr>
              <w:t>Produkt testowy</w:t>
            </w:r>
          </w:p>
        </w:tc>
        <w:tc>
          <w:tcPr>
            <w:tcW w:type="dxa" w:w="7257"/>
            <w:vAlign w:val="center"/>
          </w:tcPr>
          <w:p>
            <w:pPr>
              <w:spacing w:after="0" w:before="0"/>
            </w:pPr>
            <w:r/>
            <w:r>
              <w:rPr>
                <w:rFonts w:ascii="Times New Roman" w:hAnsi="Times New Roman"/>
                <w:b w:val="0"/>
                <w:sz w:val="14"/>
              </w:rPr>
              <w:t>produkt przekazany Partnerowi w celu demonstracji, sprawdzenia przez klienta, użycia pokazowego, zebrania opinii albo wsparcia sprzedaży bez zakładania jego bieżącej sprzedaży z magazynu Partnera.</w:t>
            </w:r>
          </w:p>
        </w:tc>
      </w:tr>
      <w:tr>
        <w:tc>
          <w:tcPr>
            <w:tcW w:type="dxa" w:w="2381"/>
            <w:vAlign w:val="center"/>
          </w:tcPr>
          <w:p>
            <w:pPr>
              <w:spacing w:after="0" w:before="0"/>
            </w:pPr>
            <w:r/>
            <w:r>
              <w:rPr>
                <w:rFonts w:ascii="Times New Roman" w:hAnsi="Times New Roman"/>
                <w:b w:val="0"/>
                <w:sz w:val="14"/>
              </w:rPr>
              <w:t>Produkt premierowy</w:t>
            </w:r>
          </w:p>
        </w:tc>
        <w:tc>
          <w:tcPr>
            <w:tcW w:type="dxa" w:w="7257"/>
            <w:vAlign w:val="center"/>
          </w:tcPr>
          <w:p>
            <w:pPr>
              <w:spacing w:after="0" w:before="0"/>
            </w:pPr>
            <w:r/>
            <w:r>
              <w:rPr>
                <w:rFonts w:ascii="Times New Roman" w:hAnsi="Times New Roman"/>
                <w:b w:val="0"/>
                <w:sz w:val="14"/>
              </w:rPr>
              <w:t>produkt wprowadzany do oferty FIXON po raz pierwszy albo w nowej wersji, udostępniany wybranym Partnerom przed pełnym wdrożeniem do standardowej dystrybucji.</w:t>
            </w:r>
          </w:p>
        </w:tc>
      </w:tr>
      <w:tr>
        <w:tc>
          <w:tcPr>
            <w:tcW w:type="dxa" w:w="2381"/>
            <w:vAlign w:val="center"/>
          </w:tcPr>
          <w:p>
            <w:pPr>
              <w:spacing w:after="0" w:before="0"/>
            </w:pPr>
            <w:r/>
            <w:r>
              <w:rPr>
                <w:rFonts w:ascii="Times New Roman" w:hAnsi="Times New Roman"/>
                <w:b w:val="0"/>
                <w:sz w:val="14"/>
              </w:rPr>
              <w:t>Produkt przedpremierowy</w:t>
            </w:r>
          </w:p>
        </w:tc>
        <w:tc>
          <w:tcPr>
            <w:tcW w:type="dxa" w:w="7257"/>
            <w:vAlign w:val="center"/>
          </w:tcPr>
          <w:p>
            <w:pPr>
              <w:spacing w:after="0" w:before="0"/>
            </w:pPr>
            <w:r/>
            <w:r>
              <w:rPr>
                <w:rFonts w:ascii="Times New Roman" w:hAnsi="Times New Roman"/>
                <w:b w:val="0"/>
                <w:sz w:val="14"/>
              </w:rPr>
              <w:t>produkt pozostający przed pełnym zatwierdzeniem katalogowym, przekazywany w celu testu rynkowego, demonstracji lub zebrania informacji zwrotnej.</w:t>
            </w:r>
          </w:p>
        </w:tc>
      </w:tr>
      <w:tr>
        <w:tc>
          <w:tcPr>
            <w:tcW w:type="dxa" w:w="2381"/>
            <w:vAlign w:val="center"/>
          </w:tcPr>
          <w:p>
            <w:pPr>
              <w:spacing w:after="0" w:before="0"/>
            </w:pPr>
            <w:r/>
            <w:r>
              <w:rPr>
                <w:rFonts w:ascii="Times New Roman" w:hAnsi="Times New Roman"/>
                <w:b w:val="0"/>
                <w:sz w:val="14"/>
              </w:rPr>
              <w:t>Użytkowanie demonstracyjne</w:t>
            </w:r>
          </w:p>
        </w:tc>
        <w:tc>
          <w:tcPr>
            <w:tcW w:type="dxa" w:w="7257"/>
            <w:vAlign w:val="center"/>
          </w:tcPr>
          <w:p>
            <w:pPr>
              <w:spacing w:after="0" w:before="0"/>
            </w:pPr>
            <w:r/>
            <w:r>
              <w:rPr>
                <w:rFonts w:ascii="Times New Roman" w:hAnsi="Times New Roman"/>
                <w:b w:val="0"/>
                <w:sz w:val="14"/>
              </w:rPr>
              <w:t>krótkotrwałe użycie produktu w warunkach pokazowych lub kontrolowanych, mające zaprezentować funkcję produktu bez trwałego przekazania go klientowi.</w:t>
            </w:r>
          </w:p>
        </w:tc>
      </w:tr>
      <w:tr>
        <w:tc>
          <w:tcPr>
            <w:tcW w:type="dxa" w:w="2381"/>
            <w:vAlign w:val="center"/>
          </w:tcPr>
          <w:p>
            <w:pPr>
              <w:spacing w:after="0" w:before="0"/>
            </w:pPr>
            <w:r/>
            <w:r>
              <w:rPr>
                <w:rFonts w:ascii="Times New Roman" w:hAnsi="Times New Roman"/>
                <w:b w:val="0"/>
                <w:sz w:val="14"/>
              </w:rPr>
              <w:t>Test klienta</w:t>
            </w:r>
          </w:p>
        </w:tc>
        <w:tc>
          <w:tcPr>
            <w:tcW w:type="dxa" w:w="7257"/>
            <w:vAlign w:val="center"/>
          </w:tcPr>
          <w:p>
            <w:pPr>
              <w:spacing w:after="0" w:before="0"/>
            </w:pPr>
            <w:r/>
            <w:r>
              <w:rPr>
                <w:rFonts w:ascii="Times New Roman" w:hAnsi="Times New Roman"/>
                <w:b w:val="0"/>
                <w:sz w:val="14"/>
              </w:rPr>
              <w:t>czasowe umożliwienie klientowi sprawdzenia produktu, jeżeli zostało to dopuszczone przez Dostawcę lub Pośrednika w odniesieniu do danego produktu.</w:t>
            </w:r>
          </w:p>
        </w:tc>
      </w:tr>
      <w:tr>
        <w:tc>
          <w:tcPr>
            <w:tcW w:type="dxa" w:w="2381"/>
            <w:vAlign w:val="center"/>
          </w:tcPr>
          <w:p>
            <w:pPr>
              <w:spacing w:after="0" w:before="0"/>
            </w:pPr>
            <w:r/>
            <w:r>
              <w:rPr>
                <w:rFonts w:ascii="Times New Roman" w:hAnsi="Times New Roman"/>
                <w:b w:val="0"/>
                <w:sz w:val="14"/>
              </w:rPr>
              <w:t>Feedback</w:t>
            </w:r>
          </w:p>
        </w:tc>
        <w:tc>
          <w:tcPr>
            <w:tcW w:type="dxa" w:w="7257"/>
            <w:vAlign w:val="center"/>
          </w:tcPr>
          <w:p>
            <w:pPr>
              <w:spacing w:after="0" w:before="0"/>
            </w:pPr>
            <w:r/>
            <w:r>
              <w:rPr>
                <w:rFonts w:ascii="Times New Roman" w:hAnsi="Times New Roman"/>
                <w:b w:val="0"/>
                <w:sz w:val="14"/>
              </w:rPr>
              <w:t>informacja zwrotna dotycząca jakości produktu, ergonomii, użyteczności, zainteresowania klientów, zastrzeżeń technicznych, sugestii zmian lub potencjału sprzedażowego.</w:t>
            </w:r>
          </w:p>
        </w:tc>
      </w:tr>
    </w:tbl>
    <w:p/>
    <w:p>
      <w:pPr>
        <w:pStyle w:val="Heading1"/>
        <w:jc w:val="center"/>
      </w:pPr>
      <w:r>
        <w:rPr>
          <w:rFonts w:ascii="Times New Roman" w:hAnsi="Times New Roman"/>
          <w:b/>
          <w:sz w:val="24"/>
        </w:rPr>
        <w:t>§ 3. Przekazanie produktów testowych i premierowych</w:t>
      </w:r>
    </w:p>
    <w:p>
      <w:pPr>
        <w:spacing w:after="80" w:line="252" w:lineRule="auto"/>
        <w:jc w:val="both"/>
      </w:pPr>
      <w:r>
        <w:rPr>
          <w:rFonts w:ascii="Times New Roman" w:hAnsi="Times New Roman"/>
          <w:sz w:val="19"/>
        </w:rPr>
        <w:t>1. Produkty testowe i premierowe są przekazywane Partnerowi na podstawie Protokołu Przekazania, Karty Partnera, Karty Uprawnienia Strategicznego, Karty Centrum Demonstracyjnego albo innego dokumentu wskazującego zakres, liczbę, wartość i przeznaczenie produktów.</w:t>
      </w:r>
    </w:p>
    <w:p>
      <w:pPr>
        <w:spacing w:after="80" w:line="252" w:lineRule="auto"/>
        <w:jc w:val="both"/>
      </w:pPr>
      <w:r>
        <w:rPr>
          <w:rFonts w:ascii="Times New Roman" w:hAnsi="Times New Roman"/>
          <w:sz w:val="19"/>
        </w:rPr>
        <w:t>2. Dokument przekazania powinien wskazywać co najmniej nazwę produktu, ilość, wartość katalogową, status produktu, przeznaczenie, miejsce używania, osobę odpowiedzialną po stronie Partnera oraz ewentualne ograniczenia w zakresie sprzedaży, testowania lub publikowania materiałów.</w:t>
      </w:r>
    </w:p>
    <w:p>
      <w:pPr>
        <w:spacing w:after="80" w:line="252" w:lineRule="auto"/>
        <w:jc w:val="both"/>
      </w:pPr>
      <w:r>
        <w:rPr>
          <w:rFonts w:ascii="Times New Roman" w:hAnsi="Times New Roman"/>
          <w:sz w:val="19"/>
        </w:rPr>
        <w:t>3. Partner zobowiązuje się przechowywać produkty w sposób zabezpieczający je przed utratą, uszkodzeniem, nieuprawnionym użyciem oraz pomyleniem z produktami handlowymi.</w:t>
      </w:r>
    </w:p>
    <w:p>
      <w:pPr>
        <w:spacing w:after="80" w:line="252" w:lineRule="auto"/>
        <w:jc w:val="both"/>
      </w:pPr>
      <w:r>
        <w:rPr>
          <w:rFonts w:ascii="Times New Roman" w:hAnsi="Times New Roman"/>
          <w:sz w:val="19"/>
        </w:rPr>
        <w:t>4. Produkty testowe i premierowe powinny być oznaczone w ewidencji Partnera oddzielnie od produktów sprzedanych, produktów magazynu startowego, produktów objętych wsparciem magazynowym oraz produktów zakupionych przez Partnera.</w:t>
      </w:r>
    </w:p>
    <w:p>
      <w:pPr>
        <w:pStyle w:val="Heading1"/>
        <w:jc w:val="center"/>
      </w:pPr>
      <w:r>
        <w:rPr>
          <w:rFonts w:ascii="Times New Roman" w:hAnsi="Times New Roman"/>
          <w:b/>
          <w:sz w:val="24"/>
        </w:rPr>
        <w:t>§ 4. Zasady używania i prezentacji</w:t>
      </w:r>
    </w:p>
    <w:p>
      <w:pPr>
        <w:spacing w:after="80" w:line="252" w:lineRule="auto"/>
        <w:jc w:val="both"/>
      </w:pPr>
      <w:r>
        <w:rPr>
          <w:rFonts w:ascii="Times New Roman" w:hAnsi="Times New Roman"/>
          <w:sz w:val="19"/>
        </w:rPr>
        <w:t>1. Partner może używać produktów testowych i premierowych wyłącznie w celu zgodnym z ich statusem, w szczególności do prezentacji klientom, demonstracji działania, testów sprzedażowych, szkoleń handlowców, pokazów terenowych albo zebrania informacji zwrotnej.</w:t>
      </w:r>
    </w:p>
    <w:p>
      <w:pPr>
        <w:spacing w:after="80" w:line="252" w:lineRule="auto"/>
        <w:jc w:val="both"/>
      </w:pPr>
      <w:r>
        <w:rPr>
          <w:rFonts w:ascii="Times New Roman" w:hAnsi="Times New Roman"/>
          <w:sz w:val="19"/>
        </w:rPr>
        <w:t>2. Partner nie może używać produktu w sposób mogący powodować jego nadmierne zużycie, uszkodzenie, utratę wartości handlowej, błędną ocenę jakości albo wprowadzenie klienta w błąd co do przeznaczenia produktu.</w:t>
      </w:r>
    </w:p>
    <w:p>
      <w:pPr>
        <w:spacing w:after="80" w:line="252" w:lineRule="auto"/>
        <w:jc w:val="both"/>
      </w:pPr>
      <w:r>
        <w:rPr>
          <w:rFonts w:ascii="Times New Roman" w:hAnsi="Times New Roman"/>
          <w:sz w:val="19"/>
        </w:rPr>
        <w:t>3. Przy prezentowaniu produktów Partner powinien komunikować ich status zgodnie z informacją przekazaną przez FIXON, w szczególności odróżniać produkt dostępny w sprzedaży od produktu testowego, premierowego lub przedpremierowego.</w:t>
      </w:r>
    </w:p>
    <w:p>
      <w:pPr>
        <w:spacing w:after="80" w:line="252" w:lineRule="auto"/>
        <w:jc w:val="both"/>
      </w:pPr>
      <w:r>
        <w:rPr>
          <w:rFonts w:ascii="Times New Roman" w:hAnsi="Times New Roman"/>
          <w:sz w:val="19"/>
        </w:rPr>
        <w:t>4. Partner nie może deklarować parametrów, gwarancji, terminów dostępności, wariantów produkcyjnych ani warunków handlowych niepotwierdzonych w aktualnych materiałach FIXON albo przez Pośrednika.</w:t>
      </w:r>
    </w:p>
    <w:p>
      <w:pPr>
        <w:pStyle w:val="Heading1"/>
        <w:jc w:val="center"/>
      </w:pPr>
      <w:r>
        <w:rPr>
          <w:rFonts w:ascii="Times New Roman" w:hAnsi="Times New Roman"/>
          <w:b/>
          <w:sz w:val="24"/>
        </w:rPr>
        <w:t>§ 5. Sprzedaż produktów testowych i premierowych</w:t>
      </w:r>
    </w:p>
    <w:p>
      <w:pPr>
        <w:spacing w:after="80" w:line="252" w:lineRule="auto"/>
        <w:jc w:val="both"/>
      </w:pPr>
      <w:r>
        <w:rPr>
          <w:rFonts w:ascii="Times New Roman" w:hAnsi="Times New Roman"/>
          <w:sz w:val="19"/>
        </w:rPr>
        <w:t>1. Produkt testowy, demonstracyjny lub premierowy może zostać sprzedany klientowi wyłącznie wtedy, gdy jego sprzedaż została dopuszczona przez Dostawcę, Pośrednika albo właściwy dokument programowy.</w:t>
      </w:r>
    </w:p>
    <w:p>
      <w:pPr>
        <w:spacing w:after="80" w:line="252" w:lineRule="auto"/>
        <w:jc w:val="both"/>
      </w:pPr>
      <w:r>
        <w:rPr>
          <w:rFonts w:ascii="Times New Roman" w:hAnsi="Times New Roman"/>
          <w:sz w:val="19"/>
        </w:rPr>
        <w:t>2. Jeżeli sprzedaż produktu testowego jest dopuszczona, rozliczenie następuje według ceny i zasad wskazanych w Cenniku, Karcie Partnera, Karcie Uprawnienia Strategicznego, Protokole Przekazania albo indywidualnej decyzji Dostawcy.</w:t>
      </w:r>
    </w:p>
    <w:p>
      <w:pPr>
        <w:spacing w:after="80" w:line="252" w:lineRule="auto"/>
        <w:jc w:val="both"/>
      </w:pPr>
      <w:r>
        <w:rPr>
          <w:rFonts w:ascii="Times New Roman" w:hAnsi="Times New Roman"/>
          <w:sz w:val="19"/>
        </w:rPr>
        <w:t>3. Produkt premierowy może być objęty ograniczeniem sprzedaży do określonego kanału, terytorium, grupy klientów, Centrum Demonstracyjnego, Partnera Strategicznego albo okresu pierwszeństwa. Partner nie może rozszerzać tego zakresu bez zgody Dostawcy.</w:t>
      </w:r>
    </w:p>
    <w:p>
      <w:pPr>
        <w:spacing w:after="80" w:line="252" w:lineRule="auto"/>
        <w:jc w:val="both"/>
      </w:pPr>
      <w:r>
        <w:rPr>
          <w:rFonts w:ascii="Times New Roman" w:hAnsi="Times New Roman"/>
          <w:sz w:val="19"/>
        </w:rPr>
        <w:t>4. Jeżeli produkt testowy lub premierowy zostanie sprzedany bez wymaganej zgody, Partner może zostać obciążony jego pełną wartością katalogową, kosztami dostawy, kosztami odtworzenia ekspozycji oraz innymi kosztami powstałymi wskutek nieuprawnionego działania.</w:t>
      </w:r>
    </w:p>
    <w:p>
      <w:pPr>
        <w:pStyle w:val="Heading1"/>
        <w:jc w:val="center"/>
      </w:pPr>
      <w:r>
        <w:rPr>
          <w:rFonts w:ascii="Times New Roman" w:hAnsi="Times New Roman"/>
          <w:b/>
          <w:sz w:val="24"/>
        </w:rPr>
        <w:t>§ 6. Produkty premierowe i komunikacja rynkowa</w:t>
      </w:r>
    </w:p>
    <w:p>
      <w:pPr>
        <w:spacing w:after="80" w:line="252" w:lineRule="auto"/>
        <w:jc w:val="both"/>
      </w:pPr>
      <w:r>
        <w:rPr>
          <w:rFonts w:ascii="Times New Roman" w:hAnsi="Times New Roman"/>
          <w:sz w:val="19"/>
        </w:rPr>
        <w:t>1. Informacje o produkcie premierowym, przedpremierowym lub wdrożeniowym mogą być publikowane przez Partnera wyłącznie w zakresie zatwierdzonym przez FIXON.</w:t>
      </w:r>
    </w:p>
    <w:p>
      <w:pPr>
        <w:spacing w:after="80" w:line="252" w:lineRule="auto"/>
        <w:jc w:val="both"/>
      </w:pPr>
      <w:r>
        <w:rPr>
          <w:rFonts w:ascii="Times New Roman" w:hAnsi="Times New Roman"/>
          <w:sz w:val="19"/>
        </w:rPr>
        <w:t>2. Partner nie może publikować zdjęć, filmów, parametrów, cen, terminów wprowadzenia, porównań z konkurencją ani zapowiedzi dostępności produktu premierowego bez wcześniejszego potwierdzenia ich treści przez Dostawcę lub Pośrednika.</w:t>
      </w:r>
    </w:p>
    <w:p>
      <w:pPr>
        <w:spacing w:after="80" w:line="252" w:lineRule="auto"/>
        <w:jc w:val="both"/>
      </w:pPr>
      <w:r>
        <w:rPr>
          <w:rFonts w:ascii="Times New Roman" w:hAnsi="Times New Roman"/>
          <w:sz w:val="19"/>
        </w:rPr>
        <w:t>3. Komunikacja sprzedażowa produktu premierowego powinna podkreślać jego funkcję, zastosowanie i wartość dla wykonawcy, bez składania obietnic niepotwierdzonych testami, dokumentacją lub materiałami FIXON.</w:t>
      </w:r>
    </w:p>
    <w:p>
      <w:pPr>
        <w:spacing w:after="80" w:line="252" w:lineRule="auto"/>
        <w:jc w:val="both"/>
      </w:pPr>
      <w:r>
        <w:rPr>
          <w:rFonts w:ascii="Times New Roman" w:hAnsi="Times New Roman"/>
          <w:sz w:val="19"/>
        </w:rPr>
        <w:t>4. Jeżeli Partner uczestniczy w powstaniu nowego produktu albo zgłosił istotny wkład w jego rozwój, zakres pierwszeństwa, wyłączności premierowej lub komunikacji rynkowej określa Karta Uprawnienia Strategicznego albo inny dokument indywidualny.</w:t>
      </w:r>
    </w:p>
    <w:p>
      <w:pPr>
        <w:pStyle w:val="Heading1"/>
        <w:jc w:val="center"/>
      </w:pPr>
      <w:r>
        <w:rPr>
          <w:rFonts w:ascii="Times New Roman" w:hAnsi="Times New Roman"/>
          <w:b/>
          <w:sz w:val="24"/>
        </w:rPr>
        <w:t>§ 7. Feedback i obowiązki informacyjne</w:t>
      </w:r>
    </w:p>
    <w:p>
      <w:pPr>
        <w:spacing w:after="80" w:line="252" w:lineRule="auto"/>
        <w:jc w:val="both"/>
      </w:pPr>
      <w:r>
        <w:rPr>
          <w:rFonts w:ascii="Times New Roman" w:hAnsi="Times New Roman"/>
          <w:sz w:val="19"/>
        </w:rPr>
        <w:t>1. Partner korzystający z produktów testowych lub premierowych zobowiązuje się przekazywać Dostawcy lub Pośrednikowi informacje zwrotne z rynku, w szczególności dotyczące zainteresowania klientów, pytań sprzedażowych, zastrzeżeń technicznych, sposobu używania produktu, reakcji wykonawców, potencjalnych zmian konstrukcyjnych oraz barier zakupowych.</w:t>
      </w:r>
    </w:p>
    <w:p>
      <w:pPr>
        <w:spacing w:after="80" w:line="252" w:lineRule="auto"/>
        <w:jc w:val="both"/>
      </w:pPr>
      <w:r>
        <w:rPr>
          <w:rFonts w:ascii="Times New Roman" w:hAnsi="Times New Roman"/>
          <w:sz w:val="19"/>
        </w:rPr>
        <w:t>2. Feedback powinien być przekazywany w formie dokumentowej, w szczególności pocztą elektroniczną, w raporcie miesięcznym, formularzu informacji zwrotnej albo innym uzgodnionym kanałem.</w:t>
      </w:r>
    </w:p>
    <w:p>
      <w:pPr>
        <w:spacing w:after="80" w:line="252" w:lineRule="auto"/>
        <w:jc w:val="both"/>
      </w:pPr>
      <w:r>
        <w:rPr>
          <w:rFonts w:ascii="Times New Roman" w:hAnsi="Times New Roman"/>
          <w:sz w:val="19"/>
        </w:rPr>
        <w:t>3. Brak przekazywania informacji zwrotnej może stanowić podstawę do ograniczenia dostępu Partnera do produktów testowych, premierowych, wyłączności premierowej, dodatkowej ekspozycji albo kolejnych wdrożeń produktowych.</w:t>
      </w:r>
    </w:p>
    <w:p>
      <w:pPr>
        <w:pStyle w:val="Heading1"/>
        <w:jc w:val="center"/>
      </w:pPr>
      <w:r>
        <w:rPr>
          <w:rFonts w:ascii="Times New Roman" w:hAnsi="Times New Roman"/>
          <w:b/>
          <w:sz w:val="24"/>
        </w:rPr>
        <w:t>§ 8. Uszkodzenie, utrata i zużycie</w:t>
      </w:r>
    </w:p>
    <w:p>
      <w:pPr>
        <w:spacing w:after="80" w:line="252" w:lineRule="auto"/>
        <w:jc w:val="both"/>
      </w:pPr>
      <w:r>
        <w:rPr>
          <w:rFonts w:ascii="Times New Roman" w:hAnsi="Times New Roman"/>
          <w:sz w:val="19"/>
        </w:rPr>
        <w:t>1. Normalne zużycie produktu wynikające z prawidłowego użycia demonstracyjnego nie obciąża Partnera, o ile produkt był używany zgodnie z przeznaczeniem i zasadami niniejszego Regulaminu.</w:t>
      </w:r>
    </w:p>
    <w:p>
      <w:pPr>
        <w:spacing w:after="80" w:line="252" w:lineRule="auto"/>
        <w:jc w:val="both"/>
      </w:pPr>
      <w:r>
        <w:rPr>
          <w:rFonts w:ascii="Times New Roman" w:hAnsi="Times New Roman"/>
          <w:sz w:val="19"/>
        </w:rPr>
        <w:t>2. Partner odpowiada za uszkodzenie, utratę, zniszczenie, zagubienie albo nieuprawnione przekazanie produktu testowego lub premierowego, jeżeli nastąpiło z jego winy, winy jego pracowników, przedstawicieli, placówek, podwykonawców albo osób, którym umożliwił korzystanie z produktu.</w:t>
      </w:r>
    </w:p>
    <w:p>
      <w:pPr>
        <w:spacing w:after="80" w:line="252" w:lineRule="auto"/>
        <w:jc w:val="both"/>
      </w:pPr>
      <w:r>
        <w:rPr>
          <w:rFonts w:ascii="Times New Roman" w:hAnsi="Times New Roman"/>
          <w:sz w:val="19"/>
        </w:rPr>
        <w:t>3. Produkty testowe, demonstracyjne lub ekspozycyjne uszkodzone albo utracone z winy Partnera mogą zostać rozliczone według 50% ceny katalogowej brutto, chyba że dokument przekazania albo indywidualne ustalenia stanowią inaczej.</w:t>
      </w:r>
    </w:p>
    <w:p>
      <w:pPr>
        <w:spacing w:after="80" w:line="252" w:lineRule="auto"/>
        <w:jc w:val="both"/>
      </w:pPr>
      <w:r>
        <w:rPr>
          <w:rFonts w:ascii="Times New Roman" w:hAnsi="Times New Roman"/>
          <w:sz w:val="19"/>
        </w:rPr>
        <w:t>4. Produkty premierowe, przedpremierowe lub szczególne produkty wdrożeniowe mogą zostać rozliczone według pełnej wartości katalogowej albo wartości odtworzeniowej, jeżeli charakter produktu, ograniczona dostępność albo zakres szkody to uzasadnia.</w:t>
      </w:r>
    </w:p>
    <w:p>
      <w:pPr>
        <w:pStyle w:val="Heading1"/>
        <w:jc w:val="center"/>
      </w:pPr>
      <w:r>
        <w:rPr>
          <w:rFonts w:ascii="Times New Roman" w:hAnsi="Times New Roman"/>
          <w:b/>
          <w:sz w:val="24"/>
        </w:rPr>
        <w:t>§ 9. Zwrot produktów</w:t>
      </w:r>
    </w:p>
    <w:p>
      <w:pPr>
        <w:spacing w:after="80" w:line="252" w:lineRule="auto"/>
        <w:jc w:val="both"/>
      </w:pPr>
      <w:r>
        <w:rPr>
          <w:rFonts w:ascii="Times New Roman" w:hAnsi="Times New Roman"/>
          <w:sz w:val="19"/>
        </w:rPr>
        <w:t>1. Dostawca lub Pośrednik może wezwać Partnera do zwrotu produktu testowego lub premierowego po zakończeniu testów, zakończeniu kampanii, cofnięciu uprawnienia, zakończeniu współpracy, aktualizacji wersji produktu albo w innym uzasadnionym przypadku.</w:t>
      </w:r>
    </w:p>
    <w:p>
      <w:pPr>
        <w:spacing w:after="80" w:line="252" w:lineRule="auto"/>
        <w:jc w:val="both"/>
      </w:pPr>
      <w:r>
        <w:rPr>
          <w:rFonts w:ascii="Times New Roman" w:hAnsi="Times New Roman"/>
          <w:sz w:val="19"/>
        </w:rPr>
        <w:t>2. Zwrot powinien nastąpić w terminie wskazanym w wezwaniu, w stanie odpowiadającym prawidłowemu użyciu demonstracyjnemu, z kompletem elementów, akcesoriów, opakowań i dokumentów, o ile zostały przekazane.</w:t>
      </w:r>
    </w:p>
    <w:p>
      <w:pPr>
        <w:spacing w:after="80" w:line="252" w:lineRule="auto"/>
        <w:jc w:val="both"/>
      </w:pPr>
      <w:r>
        <w:rPr>
          <w:rFonts w:ascii="Times New Roman" w:hAnsi="Times New Roman"/>
          <w:sz w:val="19"/>
        </w:rPr>
        <w:t>3. W przypadku braku zwrotu w terminie Dostawca może obciążyć Partnera wartością produktu, kosztami transportu, kosztami odtworzenia ekspozycji oraz innymi uzasadnionymi kosztami wynikającymi z braku zwrotu.</w:t>
      </w:r>
    </w:p>
    <w:p>
      <w:pPr>
        <w:pStyle w:val="Heading1"/>
        <w:jc w:val="center"/>
      </w:pPr>
      <w:r>
        <w:rPr>
          <w:rFonts w:ascii="Times New Roman" w:hAnsi="Times New Roman"/>
          <w:b/>
          <w:sz w:val="24"/>
        </w:rPr>
        <w:t>§ 10. Ewidencja i raportowanie</w:t>
      </w:r>
    </w:p>
    <w:tbl>
      <w:tblPr>
        <w:tblStyle w:val="TableGrid"/>
        <w:tblW w:type="auto" w:w="0"/>
        <w:jc w:val="center"/>
        <w:tblLook w:firstColumn="1" w:firstRow="1" w:lastColumn="0" w:lastRow="0" w:noHBand="0" w:noVBand="1" w:val="04A0"/>
      </w:tblPr>
      <w:tblGrid>
        <w:gridCol w:w="5355"/>
        <w:gridCol w:w="5355"/>
      </w:tblGrid>
      <w:tr>
        <w:trPr>
          <w:tblHeader w:val="true"/>
        </w:trPr>
        <w:tc>
          <w:tcPr>
            <w:tcW w:type="dxa" w:w="2551"/>
            <w:vAlign w:val="center"/>
            <w:shd w:fill="D9EAF7"/>
          </w:tcPr>
          <w:p>
            <w:pPr>
              <w:spacing w:after="0" w:before="0"/>
            </w:pPr>
            <w:r/>
            <w:r>
              <w:rPr>
                <w:rFonts w:ascii="Times New Roman" w:hAnsi="Times New Roman"/>
                <w:b/>
                <w:sz w:val="15"/>
              </w:rPr>
              <w:t>Rodzaj produktu</w:t>
            </w:r>
          </w:p>
        </w:tc>
        <w:tc>
          <w:tcPr>
            <w:tcW w:type="dxa" w:w="7087"/>
            <w:vAlign w:val="center"/>
            <w:shd w:fill="D9EAF7"/>
          </w:tcPr>
          <w:p>
            <w:pPr>
              <w:spacing w:after="0" w:before="0"/>
            </w:pPr>
            <w:r/>
            <w:r>
              <w:rPr>
                <w:rFonts w:ascii="Times New Roman" w:hAnsi="Times New Roman"/>
                <w:b/>
                <w:sz w:val="15"/>
              </w:rPr>
              <w:t>Zakres ewidencji / raportowania</w:t>
            </w:r>
          </w:p>
        </w:tc>
      </w:tr>
      <w:tr>
        <w:tc>
          <w:tcPr>
            <w:tcW w:type="dxa" w:w="2551"/>
            <w:vAlign w:val="center"/>
          </w:tcPr>
          <w:p>
            <w:pPr>
              <w:spacing w:after="0" w:before="0"/>
            </w:pPr>
            <w:r/>
            <w:r>
              <w:rPr>
                <w:rFonts w:ascii="Times New Roman" w:hAnsi="Times New Roman"/>
                <w:b w:val="0"/>
                <w:sz w:val="14"/>
              </w:rPr>
              <w:t>Produkty testowe</w:t>
            </w:r>
          </w:p>
        </w:tc>
        <w:tc>
          <w:tcPr>
            <w:tcW w:type="dxa" w:w="7087"/>
            <w:vAlign w:val="center"/>
          </w:tcPr>
          <w:p>
            <w:pPr>
              <w:spacing w:after="0" w:before="0"/>
            </w:pPr>
            <w:r/>
            <w:r>
              <w:rPr>
                <w:rFonts w:ascii="Times New Roman" w:hAnsi="Times New Roman"/>
                <w:b w:val="0"/>
                <w:sz w:val="14"/>
              </w:rPr>
              <w:t>nazwa, ilość, miejsce przechowywania, osoba odpowiedzialna, użycie, stan, feedback, uszkodzenia lub utraty.</w:t>
            </w:r>
          </w:p>
        </w:tc>
      </w:tr>
      <w:tr>
        <w:tc>
          <w:tcPr>
            <w:tcW w:type="dxa" w:w="2551"/>
            <w:vAlign w:val="center"/>
          </w:tcPr>
          <w:p>
            <w:pPr>
              <w:spacing w:after="0" w:before="0"/>
            </w:pPr>
            <w:r/>
            <w:r>
              <w:rPr>
                <w:rFonts w:ascii="Times New Roman" w:hAnsi="Times New Roman"/>
                <w:b w:val="0"/>
                <w:sz w:val="14"/>
              </w:rPr>
              <w:t>Produkty premierowe</w:t>
            </w:r>
          </w:p>
        </w:tc>
        <w:tc>
          <w:tcPr>
            <w:tcW w:type="dxa" w:w="7087"/>
            <w:vAlign w:val="center"/>
          </w:tcPr>
          <w:p>
            <w:pPr>
              <w:spacing w:after="0" w:before="0"/>
            </w:pPr>
            <w:r/>
            <w:r>
              <w:rPr>
                <w:rFonts w:ascii="Times New Roman" w:hAnsi="Times New Roman"/>
                <w:b w:val="0"/>
                <w:sz w:val="14"/>
              </w:rPr>
              <w:t>status wdrożenia, zakres prezentacji, zainteresowanie klientów, sprzedaż, zapytania, zastrzeżenia, rekomendacje rynkowe.</w:t>
            </w:r>
          </w:p>
        </w:tc>
      </w:tr>
      <w:tr>
        <w:tc>
          <w:tcPr>
            <w:tcW w:type="dxa" w:w="2551"/>
            <w:vAlign w:val="center"/>
          </w:tcPr>
          <w:p>
            <w:pPr>
              <w:spacing w:after="0" w:before="0"/>
            </w:pPr>
            <w:r/>
            <w:r>
              <w:rPr>
                <w:rFonts w:ascii="Times New Roman" w:hAnsi="Times New Roman"/>
                <w:b w:val="0"/>
                <w:sz w:val="14"/>
              </w:rPr>
              <w:t>Produkty demonstracyjne</w:t>
            </w:r>
          </w:p>
        </w:tc>
        <w:tc>
          <w:tcPr>
            <w:tcW w:type="dxa" w:w="7087"/>
            <w:vAlign w:val="center"/>
          </w:tcPr>
          <w:p>
            <w:pPr>
              <w:spacing w:after="0" w:before="0"/>
            </w:pPr>
            <w:r/>
            <w:r>
              <w:rPr>
                <w:rFonts w:ascii="Times New Roman" w:hAnsi="Times New Roman"/>
                <w:b w:val="0"/>
                <w:sz w:val="14"/>
              </w:rPr>
              <w:t>liczba prezentacji, wydarzenia, klienci kierowani do demonstracji, stan techniczny, potrzeby uzupełnienia.</w:t>
            </w:r>
          </w:p>
        </w:tc>
      </w:tr>
      <w:tr>
        <w:tc>
          <w:tcPr>
            <w:tcW w:type="dxa" w:w="2551"/>
            <w:vAlign w:val="center"/>
          </w:tcPr>
          <w:p>
            <w:pPr>
              <w:spacing w:after="0" w:before="0"/>
            </w:pPr>
            <w:r/>
            <w:r>
              <w:rPr>
                <w:rFonts w:ascii="Times New Roman" w:hAnsi="Times New Roman"/>
                <w:b w:val="0"/>
                <w:sz w:val="14"/>
              </w:rPr>
              <w:t>Produkty sprzedane</w:t>
            </w:r>
          </w:p>
        </w:tc>
        <w:tc>
          <w:tcPr>
            <w:tcW w:type="dxa" w:w="7087"/>
            <w:vAlign w:val="center"/>
          </w:tcPr>
          <w:p>
            <w:pPr>
              <w:spacing w:after="0" w:before="0"/>
            </w:pPr>
            <w:r/>
            <w:r>
              <w:rPr>
                <w:rFonts w:ascii="Times New Roman" w:hAnsi="Times New Roman"/>
                <w:b w:val="0"/>
                <w:sz w:val="14"/>
              </w:rPr>
              <w:t>data sprzedaży, ilość, cena, rabat, klient lub kanał, rozliczenie, ewentualne reklamacje.</w:t>
            </w:r>
          </w:p>
        </w:tc>
      </w:tr>
    </w:tbl>
    <w:p/>
    <w:p>
      <w:pPr>
        <w:spacing w:after="80" w:line="252" w:lineRule="auto"/>
        <w:jc w:val="both"/>
      </w:pPr>
      <w:r>
        <w:rPr>
          <w:rFonts w:ascii="Times New Roman" w:hAnsi="Times New Roman"/>
          <w:sz w:val="19"/>
        </w:rPr>
        <w:t>Partner ujmuje produkty testowe, premierowe, demonstracyjne i ekspozycyjne w raporcie miesięcznym albo w innym formularzu wskazanym przez Dostawcę lub Pośrednika, jeżeli ich status, użycie, sprzedaż, utrata, uszkodzenie albo zwrot ma wpływ na rozliczenia, stany magazynowe, ekspozycję lub ocenę współpracy.</w:t>
      </w:r>
    </w:p>
    <w:p>
      <w:pPr>
        <w:pStyle w:val="Heading1"/>
        <w:jc w:val="center"/>
      </w:pPr>
      <w:r>
        <w:rPr>
          <w:rFonts w:ascii="Times New Roman" w:hAnsi="Times New Roman"/>
          <w:b/>
          <w:sz w:val="24"/>
        </w:rPr>
        <w:t>§ 11. Tabela przekazanych produktów testowych i premierowych</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gridCol w:w="1190"/>
      </w:tblGrid>
      <w:tr>
        <w:trPr>
          <w:tblHeader w:val="true"/>
        </w:trPr>
        <w:tc>
          <w:tcPr>
            <w:tcW w:type="dxa" w:w="397"/>
            <w:vAlign w:val="center"/>
            <w:shd w:fill="D9EAF7"/>
          </w:tcPr>
          <w:p>
            <w:pPr>
              <w:spacing w:after="0" w:before="0"/>
            </w:pPr>
            <w:r/>
            <w:r>
              <w:rPr>
                <w:rFonts w:ascii="Times New Roman" w:hAnsi="Times New Roman"/>
                <w:b/>
                <w:sz w:val="15"/>
              </w:rPr>
              <w:t>Lp.</w:t>
            </w:r>
          </w:p>
        </w:tc>
        <w:tc>
          <w:tcPr>
            <w:tcW w:type="dxa" w:w="1814"/>
            <w:vAlign w:val="center"/>
            <w:shd w:fill="D9EAF7"/>
          </w:tcPr>
          <w:p>
            <w:pPr>
              <w:spacing w:after="0" w:before="0"/>
            </w:pPr>
            <w:r/>
            <w:r>
              <w:rPr>
                <w:rFonts w:ascii="Times New Roman" w:hAnsi="Times New Roman"/>
                <w:b/>
                <w:sz w:val="15"/>
              </w:rPr>
              <w:t>Nazwa produktu</w:t>
            </w:r>
          </w:p>
        </w:tc>
        <w:tc>
          <w:tcPr>
            <w:tcW w:type="dxa" w:w="1361"/>
            <w:vAlign w:val="center"/>
            <w:shd w:fill="D9EAF7"/>
          </w:tcPr>
          <w:p>
            <w:pPr>
              <w:spacing w:after="0" w:before="0"/>
            </w:pPr>
            <w:r/>
            <w:r>
              <w:rPr>
                <w:rFonts w:ascii="Times New Roman" w:hAnsi="Times New Roman"/>
                <w:b/>
                <w:sz w:val="15"/>
              </w:rPr>
              <w:t>Status</w:t>
            </w:r>
          </w:p>
        </w:tc>
        <w:tc>
          <w:tcPr>
            <w:tcW w:type="dxa" w:w="567"/>
            <w:vAlign w:val="center"/>
            <w:shd w:fill="D9EAF7"/>
          </w:tcPr>
          <w:p>
            <w:pPr>
              <w:spacing w:after="0" w:before="0"/>
            </w:pPr>
            <w:r/>
            <w:r>
              <w:rPr>
                <w:rFonts w:ascii="Times New Roman" w:hAnsi="Times New Roman"/>
                <w:b/>
                <w:sz w:val="15"/>
              </w:rPr>
              <w:t>Ilość</w:t>
            </w:r>
          </w:p>
        </w:tc>
        <w:tc>
          <w:tcPr>
            <w:tcW w:type="dxa" w:w="1304"/>
            <w:vAlign w:val="center"/>
            <w:shd w:fill="D9EAF7"/>
          </w:tcPr>
          <w:p>
            <w:pPr>
              <w:spacing w:after="0" w:before="0"/>
            </w:pPr>
            <w:r/>
            <w:r>
              <w:rPr>
                <w:rFonts w:ascii="Times New Roman" w:hAnsi="Times New Roman"/>
                <w:b/>
                <w:sz w:val="15"/>
              </w:rPr>
              <w:t>Wartość katalogowa brutto</w:t>
            </w:r>
          </w:p>
        </w:tc>
        <w:tc>
          <w:tcPr>
            <w:tcW w:type="dxa" w:w="1361"/>
            <w:vAlign w:val="center"/>
            <w:shd w:fill="D9EAF7"/>
          </w:tcPr>
          <w:p>
            <w:pPr>
              <w:spacing w:after="0" w:before="0"/>
            </w:pPr>
            <w:r/>
            <w:r>
              <w:rPr>
                <w:rFonts w:ascii="Times New Roman" w:hAnsi="Times New Roman"/>
                <w:b/>
                <w:sz w:val="15"/>
              </w:rPr>
              <w:t>Miejsce / placówka</w:t>
            </w:r>
          </w:p>
        </w:tc>
        <w:tc>
          <w:tcPr>
            <w:tcW w:type="dxa" w:w="1474"/>
            <w:vAlign w:val="center"/>
            <w:shd w:fill="D9EAF7"/>
          </w:tcPr>
          <w:p>
            <w:pPr>
              <w:spacing w:after="0" w:before="0"/>
            </w:pPr>
            <w:r/>
            <w:r>
              <w:rPr>
                <w:rFonts w:ascii="Times New Roman" w:hAnsi="Times New Roman"/>
                <w:b/>
                <w:sz w:val="15"/>
              </w:rPr>
              <w:t>Osoba odpowiedzialna</w:t>
            </w:r>
          </w:p>
        </w:tc>
        <w:tc>
          <w:tcPr>
            <w:tcW w:type="dxa" w:w="1191"/>
            <w:vAlign w:val="center"/>
            <w:shd w:fill="D9EAF7"/>
          </w:tcPr>
          <w:p>
            <w:pPr>
              <w:spacing w:after="0" w:before="0"/>
            </w:pPr>
            <w:r/>
            <w:r>
              <w:rPr>
                <w:rFonts w:ascii="Times New Roman" w:hAnsi="Times New Roman"/>
                <w:b/>
                <w:sz w:val="15"/>
              </w:rPr>
              <w:t>Termin zwrotu / przeglądu</w:t>
            </w:r>
          </w:p>
        </w:tc>
        <w:tc>
          <w:tcPr>
            <w:tcW w:type="dxa" w:w="1304"/>
            <w:vAlign w:val="center"/>
            <w:shd w:fill="D9EAF7"/>
          </w:tcPr>
          <w:p>
            <w:pPr>
              <w:spacing w:after="0" w:before="0"/>
            </w:pPr>
            <w:r/>
            <w:r>
              <w:rPr>
                <w:rFonts w:ascii="Times New Roman" w:hAnsi="Times New Roman"/>
                <w:b/>
                <w:sz w:val="15"/>
              </w:rPr>
              <w:t>Uwagi</w:t>
            </w:r>
          </w:p>
        </w:tc>
      </w:tr>
      <w:tr>
        <w:tc>
          <w:tcPr>
            <w:tcW w:type="dxa" w:w="397"/>
            <w:vAlign w:val="center"/>
          </w:tcPr>
          <w:p>
            <w:pPr>
              <w:spacing w:after="0" w:before="0"/>
            </w:pPr>
            <w:r/>
            <w:r>
              <w:rPr>
                <w:rFonts w:ascii="Times New Roman" w:hAnsi="Times New Roman"/>
                <w:b w:val="0"/>
                <w:sz w:val="14"/>
              </w:rPr>
              <w:t>1.</w:t>
            </w:r>
          </w:p>
        </w:tc>
        <w:tc>
          <w:tcPr>
            <w:tcW w:type="dxa" w:w="1814"/>
            <w:vAlign w:val="center"/>
          </w:tcPr>
          <w:p>
            <w:pPr>
              <w:spacing w:after="0" w:before="0"/>
            </w:pPr>
            <w:r/>
            <w:r>
              <w:rPr>
                <w:rFonts w:ascii="Times New Roman" w:hAnsi="Times New Roman"/>
                <w:b w:val="0"/>
                <w:sz w:val="14"/>
              </w:rPr>
              <w:t>[●]</w:t>
            </w:r>
          </w:p>
        </w:tc>
        <w:tc>
          <w:tcPr>
            <w:tcW w:type="dxa" w:w="1361"/>
            <w:vAlign w:val="center"/>
          </w:tcPr>
          <w:p>
            <w:pPr>
              <w:spacing w:after="0" w:before="0"/>
            </w:pPr>
            <w:r/>
            <w:r>
              <w:rPr>
                <w:rFonts w:ascii="Times New Roman" w:hAnsi="Times New Roman"/>
                <w:b w:val="0"/>
                <w:sz w:val="14"/>
              </w:rPr>
              <w:t>testowy / premierowy / demonstracyjny</w:t>
            </w:r>
          </w:p>
        </w:tc>
        <w:tc>
          <w:tcPr>
            <w:tcW w:type="dxa" w:w="567"/>
            <w:vAlign w:val="center"/>
          </w:tcPr>
          <w:p>
            <w:pPr>
              <w:spacing w:after="0" w:before="0"/>
            </w:pPr>
            <w:r/>
            <w:r>
              <w:rPr>
                <w:rFonts w:ascii="Times New Roman" w:hAnsi="Times New Roman"/>
                <w:b w:val="0"/>
                <w:sz w:val="14"/>
              </w:rPr>
              <w:t>[●]</w:t>
            </w:r>
          </w:p>
        </w:tc>
        <w:tc>
          <w:tcPr>
            <w:tcW w:type="dxa" w:w="1304"/>
            <w:vAlign w:val="center"/>
          </w:tcPr>
          <w:p>
            <w:pPr>
              <w:spacing w:after="0" w:before="0"/>
            </w:pPr>
            <w:r/>
            <w:r>
              <w:rPr>
                <w:rFonts w:ascii="Times New Roman" w:hAnsi="Times New Roman"/>
                <w:b w:val="0"/>
                <w:sz w:val="14"/>
              </w:rPr>
              <w:t>[●]</w:t>
            </w:r>
          </w:p>
        </w:tc>
        <w:tc>
          <w:tcPr>
            <w:tcW w:type="dxa" w:w="1361"/>
            <w:vAlign w:val="center"/>
          </w:tcPr>
          <w:p>
            <w:pPr>
              <w:spacing w:after="0" w:before="0"/>
            </w:pPr>
            <w:r/>
            <w:r>
              <w:rPr>
                <w:rFonts w:ascii="Times New Roman" w:hAnsi="Times New Roman"/>
                <w:b w:val="0"/>
                <w:sz w:val="14"/>
              </w:rPr>
              <w:t>[●]</w:t>
            </w:r>
          </w:p>
        </w:tc>
        <w:tc>
          <w:tcPr>
            <w:tcW w:type="dxa" w:w="1474"/>
            <w:vAlign w:val="center"/>
          </w:tcPr>
          <w:p>
            <w:pPr>
              <w:spacing w:after="0" w:before="0"/>
            </w:pPr>
            <w:r/>
            <w:r>
              <w:rPr>
                <w:rFonts w:ascii="Times New Roman" w:hAnsi="Times New Roman"/>
                <w:b w:val="0"/>
                <w:sz w:val="14"/>
              </w:rPr>
              <w:t>[●]</w:t>
            </w:r>
          </w:p>
        </w:tc>
        <w:tc>
          <w:tcPr>
            <w:tcW w:type="dxa" w:w="1191"/>
            <w:vAlign w:val="center"/>
          </w:tcPr>
          <w:p>
            <w:pPr>
              <w:spacing w:after="0" w:before="0"/>
            </w:pPr>
            <w:r/>
            <w:r>
              <w:rPr>
                <w:rFonts w:ascii="Times New Roman" w:hAnsi="Times New Roman"/>
                <w:b w:val="0"/>
                <w:sz w:val="14"/>
              </w:rPr>
              <w:t>[●]</w:t>
            </w:r>
          </w:p>
        </w:tc>
        <w:tc>
          <w:tcPr>
            <w:tcW w:type="dxa" w:w="1304"/>
            <w:vAlign w:val="center"/>
          </w:tcPr>
          <w:p>
            <w:pPr>
              <w:spacing w:after="0" w:before="0"/>
            </w:pPr>
            <w:r/>
            <w:r>
              <w:rPr>
                <w:rFonts w:ascii="Times New Roman" w:hAnsi="Times New Roman"/>
                <w:b w:val="0"/>
                <w:sz w:val="14"/>
              </w:rPr>
              <w:t>[●]</w:t>
            </w:r>
          </w:p>
        </w:tc>
      </w:tr>
      <w:tr>
        <w:tc>
          <w:tcPr>
            <w:tcW w:type="dxa" w:w="397"/>
            <w:vAlign w:val="center"/>
          </w:tcPr>
          <w:p>
            <w:pPr>
              <w:spacing w:after="0" w:before="0"/>
            </w:pPr>
            <w:r/>
            <w:r>
              <w:rPr>
                <w:rFonts w:ascii="Times New Roman" w:hAnsi="Times New Roman"/>
                <w:b w:val="0"/>
                <w:sz w:val="14"/>
              </w:rPr>
              <w:t>2.</w:t>
            </w:r>
          </w:p>
        </w:tc>
        <w:tc>
          <w:tcPr>
            <w:tcW w:type="dxa" w:w="1814"/>
            <w:vAlign w:val="center"/>
          </w:tcPr>
          <w:p>
            <w:pPr>
              <w:spacing w:after="0" w:before="0"/>
            </w:pPr>
            <w:r/>
            <w:r>
              <w:rPr>
                <w:rFonts w:ascii="Times New Roman" w:hAnsi="Times New Roman"/>
                <w:b w:val="0"/>
                <w:sz w:val="14"/>
              </w:rPr>
              <w:t>[●]</w:t>
            </w:r>
          </w:p>
        </w:tc>
        <w:tc>
          <w:tcPr>
            <w:tcW w:type="dxa" w:w="1361"/>
            <w:vAlign w:val="center"/>
          </w:tcPr>
          <w:p>
            <w:pPr>
              <w:spacing w:after="0" w:before="0"/>
            </w:pPr>
            <w:r/>
            <w:r>
              <w:rPr>
                <w:rFonts w:ascii="Times New Roman" w:hAnsi="Times New Roman"/>
                <w:b w:val="0"/>
                <w:sz w:val="14"/>
              </w:rPr>
              <w:t>testowy / premierowy / demonstracyjny</w:t>
            </w:r>
          </w:p>
        </w:tc>
        <w:tc>
          <w:tcPr>
            <w:tcW w:type="dxa" w:w="567"/>
            <w:vAlign w:val="center"/>
          </w:tcPr>
          <w:p>
            <w:pPr>
              <w:spacing w:after="0" w:before="0"/>
            </w:pPr>
            <w:r/>
            <w:r>
              <w:rPr>
                <w:rFonts w:ascii="Times New Roman" w:hAnsi="Times New Roman"/>
                <w:b w:val="0"/>
                <w:sz w:val="14"/>
              </w:rPr>
              <w:t>[●]</w:t>
            </w:r>
          </w:p>
        </w:tc>
        <w:tc>
          <w:tcPr>
            <w:tcW w:type="dxa" w:w="1304"/>
            <w:vAlign w:val="center"/>
          </w:tcPr>
          <w:p>
            <w:pPr>
              <w:spacing w:after="0" w:before="0"/>
            </w:pPr>
            <w:r/>
            <w:r>
              <w:rPr>
                <w:rFonts w:ascii="Times New Roman" w:hAnsi="Times New Roman"/>
                <w:b w:val="0"/>
                <w:sz w:val="14"/>
              </w:rPr>
              <w:t>[●]</w:t>
            </w:r>
          </w:p>
        </w:tc>
        <w:tc>
          <w:tcPr>
            <w:tcW w:type="dxa" w:w="1361"/>
            <w:vAlign w:val="center"/>
          </w:tcPr>
          <w:p>
            <w:pPr>
              <w:spacing w:after="0" w:before="0"/>
            </w:pPr>
            <w:r/>
            <w:r>
              <w:rPr>
                <w:rFonts w:ascii="Times New Roman" w:hAnsi="Times New Roman"/>
                <w:b w:val="0"/>
                <w:sz w:val="14"/>
              </w:rPr>
              <w:t>[●]</w:t>
            </w:r>
          </w:p>
        </w:tc>
        <w:tc>
          <w:tcPr>
            <w:tcW w:type="dxa" w:w="1474"/>
            <w:vAlign w:val="center"/>
          </w:tcPr>
          <w:p>
            <w:pPr>
              <w:spacing w:after="0" w:before="0"/>
            </w:pPr>
            <w:r/>
            <w:r>
              <w:rPr>
                <w:rFonts w:ascii="Times New Roman" w:hAnsi="Times New Roman"/>
                <w:b w:val="0"/>
                <w:sz w:val="14"/>
              </w:rPr>
              <w:t>[●]</w:t>
            </w:r>
          </w:p>
        </w:tc>
        <w:tc>
          <w:tcPr>
            <w:tcW w:type="dxa" w:w="1191"/>
            <w:vAlign w:val="center"/>
          </w:tcPr>
          <w:p>
            <w:pPr>
              <w:spacing w:after="0" w:before="0"/>
            </w:pPr>
            <w:r/>
            <w:r>
              <w:rPr>
                <w:rFonts w:ascii="Times New Roman" w:hAnsi="Times New Roman"/>
                <w:b w:val="0"/>
                <w:sz w:val="14"/>
              </w:rPr>
              <w:t>[●]</w:t>
            </w:r>
          </w:p>
        </w:tc>
        <w:tc>
          <w:tcPr>
            <w:tcW w:type="dxa" w:w="1304"/>
            <w:vAlign w:val="center"/>
          </w:tcPr>
          <w:p>
            <w:pPr>
              <w:spacing w:after="0" w:before="0"/>
            </w:pPr>
            <w:r/>
            <w:r>
              <w:rPr>
                <w:rFonts w:ascii="Times New Roman" w:hAnsi="Times New Roman"/>
                <w:b w:val="0"/>
                <w:sz w:val="14"/>
              </w:rPr>
              <w:t>[●]</w:t>
            </w:r>
          </w:p>
        </w:tc>
      </w:tr>
      <w:tr>
        <w:tc>
          <w:tcPr>
            <w:tcW w:type="dxa" w:w="397"/>
            <w:vAlign w:val="center"/>
          </w:tcPr>
          <w:p>
            <w:pPr>
              <w:spacing w:after="0" w:before="0"/>
            </w:pPr>
            <w:r/>
            <w:r>
              <w:rPr>
                <w:rFonts w:ascii="Times New Roman" w:hAnsi="Times New Roman"/>
                <w:b w:val="0"/>
                <w:sz w:val="14"/>
              </w:rPr>
              <w:t>3.</w:t>
            </w:r>
          </w:p>
        </w:tc>
        <w:tc>
          <w:tcPr>
            <w:tcW w:type="dxa" w:w="1814"/>
            <w:vAlign w:val="center"/>
          </w:tcPr>
          <w:p>
            <w:pPr>
              <w:spacing w:after="0" w:before="0"/>
            </w:pPr>
            <w:r/>
            <w:r>
              <w:rPr>
                <w:rFonts w:ascii="Times New Roman" w:hAnsi="Times New Roman"/>
                <w:b w:val="0"/>
                <w:sz w:val="14"/>
              </w:rPr>
              <w:t>[●]</w:t>
            </w:r>
          </w:p>
        </w:tc>
        <w:tc>
          <w:tcPr>
            <w:tcW w:type="dxa" w:w="1361"/>
            <w:vAlign w:val="center"/>
          </w:tcPr>
          <w:p>
            <w:pPr>
              <w:spacing w:after="0" w:before="0"/>
            </w:pPr>
            <w:r/>
            <w:r>
              <w:rPr>
                <w:rFonts w:ascii="Times New Roman" w:hAnsi="Times New Roman"/>
                <w:b w:val="0"/>
                <w:sz w:val="14"/>
              </w:rPr>
              <w:t>testowy / premierowy / demonstracyjny</w:t>
            </w:r>
          </w:p>
        </w:tc>
        <w:tc>
          <w:tcPr>
            <w:tcW w:type="dxa" w:w="567"/>
            <w:vAlign w:val="center"/>
          </w:tcPr>
          <w:p>
            <w:pPr>
              <w:spacing w:after="0" w:before="0"/>
            </w:pPr>
            <w:r/>
            <w:r>
              <w:rPr>
                <w:rFonts w:ascii="Times New Roman" w:hAnsi="Times New Roman"/>
                <w:b w:val="0"/>
                <w:sz w:val="14"/>
              </w:rPr>
              <w:t>[●]</w:t>
            </w:r>
          </w:p>
        </w:tc>
        <w:tc>
          <w:tcPr>
            <w:tcW w:type="dxa" w:w="1304"/>
            <w:vAlign w:val="center"/>
          </w:tcPr>
          <w:p>
            <w:pPr>
              <w:spacing w:after="0" w:before="0"/>
            </w:pPr>
            <w:r/>
            <w:r>
              <w:rPr>
                <w:rFonts w:ascii="Times New Roman" w:hAnsi="Times New Roman"/>
                <w:b w:val="0"/>
                <w:sz w:val="14"/>
              </w:rPr>
              <w:t>[●]</w:t>
            </w:r>
          </w:p>
        </w:tc>
        <w:tc>
          <w:tcPr>
            <w:tcW w:type="dxa" w:w="1361"/>
            <w:vAlign w:val="center"/>
          </w:tcPr>
          <w:p>
            <w:pPr>
              <w:spacing w:after="0" w:before="0"/>
            </w:pPr>
            <w:r/>
            <w:r>
              <w:rPr>
                <w:rFonts w:ascii="Times New Roman" w:hAnsi="Times New Roman"/>
                <w:b w:val="0"/>
                <w:sz w:val="14"/>
              </w:rPr>
              <w:t>[●]</w:t>
            </w:r>
          </w:p>
        </w:tc>
        <w:tc>
          <w:tcPr>
            <w:tcW w:type="dxa" w:w="1474"/>
            <w:vAlign w:val="center"/>
          </w:tcPr>
          <w:p>
            <w:pPr>
              <w:spacing w:after="0" w:before="0"/>
            </w:pPr>
            <w:r/>
            <w:r>
              <w:rPr>
                <w:rFonts w:ascii="Times New Roman" w:hAnsi="Times New Roman"/>
                <w:b w:val="0"/>
                <w:sz w:val="14"/>
              </w:rPr>
              <w:t>[●]</w:t>
            </w:r>
          </w:p>
        </w:tc>
        <w:tc>
          <w:tcPr>
            <w:tcW w:type="dxa" w:w="1191"/>
            <w:vAlign w:val="center"/>
          </w:tcPr>
          <w:p>
            <w:pPr>
              <w:spacing w:after="0" w:before="0"/>
            </w:pPr>
            <w:r/>
            <w:r>
              <w:rPr>
                <w:rFonts w:ascii="Times New Roman" w:hAnsi="Times New Roman"/>
                <w:b w:val="0"/>
                <w:sz w:val="14"/>
              </w:rPr>
              <w:t>[●]</w:t>
            </w:r>
          </w:p>
        </w:tc>
        <w:tc>
          <w:tcPr>
            <w:tcW w:type="dxa" w:w="1304"/>
            <w:vAlign w:val="center"/>
          </w:tcPr>
          <w:p>
            <w:pPr>
              <w:spacing w:after="0" w:before="0"/>
            </w:pPr>
            <w:r/>
            <w:r>
              <w:rPr>
                <w:rFonts w:ascii="Times New Roman" w:hAnsi="Times New Roman"/>
                <w:b w:val="0"/>
                <w:sz w:val="14"/>
              </w:rPr>
              <w:t>[●]</w:t>
            </w:r>
          </w:p>
        </w:tc>
      </w:tr>
    </w:tbl>
    <w:p/>
    <w:p>
      <w:pPr>
        <w:pStyle w:val="Heading1"/>
        <w:jc w:val="center"/>
      </w:pPr>
      <w:r>
        <w:rPr>
          <w:rFonts w:ascii="Times New Roman" w:hAnsi="Times New Roman"/>
          <w:b/>
          <w:sz w:val="24"/>
        </w:rPr>
        <w:t>§ 12. Zastrzeżenia i zatwierdzenie dokumentu</w:t>
      </w:r>
    </w:p>
    <w:p>
      <w:pPr>
        <w:spacing w:after="80" w:line="252" w:lineRule="auto"/>
        <w:jc w:val="both"/>
      </w:pPr>
      <w:r>
        <w:rPr>
          <w:rFonts w:ascii="Times New Roman" w:hAnsi="Times New Roman"/>
          <w:sz w:val="19"/>
        </w:rPr>
        <w:t>Dokument zostaje przekazany Partnerowi w ramach Programu Partnerskiego FIXON. Partner może zgłosić zastrzeżenia do treści dokumentu w terminie 7 dni od dnia jego dostarczenia. Brak zgłoszenia zastrzeżeń w tym terminie oznacza przyjęcie dokumentu do wiadomości i stosowania w ramach bieżącej współpracy. Jeżeli Partner zgłosi zastrzeżenia, Strony wyjaśniają treść dokumentu, usuwają rozbieżności albo przygotowują końcową uzgodnioną wersję dokumentu. Końcowa wersja dokumentu, do którego zgłoszono zastrzeżenia, wymaga zatwierdzenia przez obie Strony w formie podpisów osobistych albo podpisów elektronicznych zaakceptowanych przez Strony, chyba że Strony wyraźnie uzgodnią inną formę zatwierdzenia w korespondencji dokumentowej.</w:t>
      </w:r>
    </w:p>
    <w:p>
      <w:pPr>
        <w:pStyle w:val="Heading1"/>
        <w:jc w:val="center"/>
      </w:pPr>
      <w:r>
        <w:rPr>
          <w:rFonts w:ascii="Times New Roman" w:hAnsi="Times New Roman"/>
          <w:b/>
          <w:sz w:val="24"/>
        </w:rPr>
        <w:t>Podpisy / zatwierdzenie końcowej wersji</w:t>
      </w:r>
    </w:p>
    <w:tbl>
      <w:tblPr>
        <w:tblStyle w:val="TableGrid"/>
        <w:tblW w:type="auto" w:w="0"/>
        <w:jc w:val="center"/>
        <w:tblLook w:firstColumn="1" w:firstRow="1" w:lastColumn="0" w:lastRow="0" w:noHBand="0" w:noVBand="1" w:val="04A0"/>
      </w:tblPr>
      <w:tblGrid>
        <w:gridCol w:w="3570"/>
        <w:gridCol w:w="3570"/>
        <w:gridCol w:w="3570"/>
      </w:tblGrid>
      <w:tr>
        <w:trPr>
          <w:tblHeader w:val="true"/>
        </w:trPr>
        <w:tc>
          <w:tcPr>
            <w:tcW w:type="dxa" w:w="1814"/>
            <w:vAlign w:val="center"/>
            <w:shd w:fill="D9EAF7"/>
          </w:tcPr>
          <w:p>
            <w:pPr>
              <w:spacing w:after="0" w:before="0"/>
            </w:pPr>
            <w:r/>
            <w:r>
              <w:rPr>
                <w:rFonts w:ascii="Times New Roman" w:hAnsi="Times New Roman"/>
                <w:b/>
                <w:sz w:val="15"/>
              </w:rPr>
              <w:t>Strona</w:t>
            </w:r>
          </w:p>
        </w:tc>
        <w:tc>
          <w:tcPr>
            <w:tcW w:type="dxa" w:w="4252"/>
            <w:vAlign w:val="center"/>
            <w:shd w:fill="D9EAF7"/>
          </w:tcPr>
          <w:p>
            <w:pPr>
              <w:spacing w:after="0" w:before="0"/>
            </w:pPr>
            <w:r/>
            <w:r>
              <w:rPr>
                <w:rFonts w:ascii="Times New Roman" w:hAnsi="Times New Roman"/>
                <w:b/>
                <w:sz w:val="15"/>
              </w:rPr>
              <w:t>Dane</w:t>
            </w:r>
          </w:p>
        </w:tc>
        <w:tc>
          <w:tcPr>
            <w:tcW w:type="dxa" w:w="3572"/>
            <w:vAlign w:val="center"/>
            <w:shd w:fill="D9EAF7"/>
          </w:tcPr>
          <w:p>
            <w:pPr>
              <w:spacing w:after="0" w:before="0"/>
            </w:pPr>
            <w:r/>
            <w:r>
              <w:rPr>
                <w:rFonts w:ascii="Times New Roman" w:hAnsi="Times New Roman"/>
                <w:b/>
                <w:sz w:val="15"/>
              </w:rPr>
              <w:t>Podpis</w:t>
            </w:r>
          </w:p>
        </w:tc>
      </w:tr>
      <w:tr>
        <w:tc>
          <w:tcPr>
            <w:tcW w:type="dxa" w:w="1814"/>
            <w:vAlign w:val="center"/>
          </w:tcPr>
          <w:p>
            <w:pPr>
              <w:spacing w:after="0" w:before="0"/>
            </w:pPr>
            <w:r/>
            <w:r>
              <w:rPr>
                <w:rFonts w:ascii="Times New Roman" w:hAnsi="Times New Roman"/>
                <w:b w:val="0"/>
                <w:sz w:val="14"/>
              </w:rPr>
              <w:t>Dostawca</w:t>
            </w:r>
          </w:p>
        </w:tc>
        <w:tc>
          <w:tcPr>
            <w:tcW w:type="dxa" w:w="4252"/>
            <w:vAlign w:val="center"/>
          </w:tcPr>
          <w:p>
            <w:pPr>
              <w:spacing w:after="0" w:before="0"/>
            </w:pPr>
            <w:r/>
            <w:r>
              <w:rPr>
                <w:rFonts w:ascii="Times New Roman" w:hAnsi="Times New Roman"/>
                <w:b w:val="0"/>
                <w:sz w:val="14"/>
              </w:rPr>
              <w:t>FIXON IRYNA MUKOSII</w:t>
            </w:r>
          </w:p>
        </w:tc>
        <w:tc>
          <w:tcPr>
            <w:tcW w:type="dxa" w:w="3572"/>
            <w:vAlign w:val="center"/>
          </w:tcPr>
          <w:p>
            <w:pPr>
              <w:spacing w:after="0" w:before="0"/>
            </w:pPr>
            <w:r/>
            <w:r>
              <w:rPr>
                <w:rFonts w:ascii="Times New Roman" w:hAnsi="Times New Roman"/>
                <w:b w:val="0"/>
                <w:sz w:val="14"/>
              </w:rPr>
              <w:t>data, podpis / podpis elektroniczny</w:t>
            </w:r>
          </w:p>
        </w:tc>
      </w:tr>
      <w:tr>
        <w:tc>
          <w:tcPr>
            <w:tcW w:type="dxa" w:w="1814"/>
            <w:vAlign w:val="center"/>
          </w:tcPr>
          <w:p>
            <w:pPr>
              <w:spacing w:after="0" w:before="0"/>
            </w:pPr>
            <w:r/>
            <w:r>
              <w:rPr>
                <w:rFonts w:ascii="Times New Roman" w:hAnsi="Times New Roman"/>
                <w:b w:val="0"/>
                <w:sz w:val="14"/>
              </w:rPr>
              <w:t>Pośrednik</w:t>
            </w:r>
          </w:p>
        </w:tc>
        <w:tc>
          <w:tcPr>
            <w:tcW w:type="dxa" w:w="4252"/>
            <w:vAlign w:val="center"/>
          </w:tcPr>
          <w:p>
            <w:pPr>
              <w:spacing w:after="0" w:before="0"/>
            </w:pPr>
            <w:r/>
            <w:r>
              <w:rPr>
                <w:rFonts w:ascii="Times New Roman" w:hAnsi="Times New Roman"/>
                <w:b w:val="0"/>
                <w:sz w:val="14"/>
              </w:rPr>
              <w:t>JHB FAMILY sp. z o.o.</w:t>
            </w:r>
          </w:p>
        </w:tc>
        <w:tc>
          <w:tcPr>
            <w:tcW w:type="dxa" w:w="3572"/>
            <w:vAlign w:val="center"/>
          </w:tcPr>
          <w:p>
            <w:pPr>
              <w:spacing w:after="0" w:before="0"/>
            </w:pPr>
            <w:r/>
            <w:r>
              <w:rPr>
                <w:rFonts w:ascii="Times New Roman" w:hAnsi="Times New Roman"/>
                <w:b w:val="0"/>
                <w:sz w:val="14"/>
              </w:rPr>
              <w:t>data, podpis / podpis elektroniczny</w:t>
            </w:r>
          </w:p>
        </w:tc>
      </w:tr>
      <w:tr>
        <w:tc>
          <w:tcPr>
            <w:tcW w:type="dxa" w:w="1814"/>
            <w:vAlign w:val="center"/>
          </w:tcPr>
          <w:p>
            <w:pPr>
              <w:spacing w:after="0" w:before="0"/>
            </w:pPr>
            <w:r/>
            <w:r>
              <w:rPr>
                <w:rFonts w:ascii="Times New Roman" w:hAnsi="Times New Roman"/>
                <w:b w:val="0"/>
                <w:sz w:val="14"/>
              </w:rPr>
              <w:t>Partner</w:t>
            </w:r>
          </w:p>
        </w:tc>
        <w:tc>
          <w:tcPr>
            <w:tcW w:type="dxa" w:w="4252"/>
            <w:vAlign w:val="center"/>
          </w:tcPr>
          <w:p>
            <w:pPr>
              <w:spacing w:after="0" w:before="0"/>
            </w:pPr>
            <w:r/>
            <w:r>
              <w:rPr>
                <w:rFonts w:ascii="Times New Roman" w:hAnsi="Times New Roman"/>
                <w:b w:val="0"/>
                <w:sz w:val="14"/>
              </w:rPr>
              <w:t>[pełna nazwa Partnera]</w:t>
            </w:r>
          </w:p>
        </w:tc>
        <w:tc>
          <w:tcPr>
            <w:tcW w:type="dxa" w:w="3572"/>
            <w:vAlign w:val="center"/>
          </w:tcPr>
          <w:p>
            <w:pPr>
              <w:spacing w:after="0" w:before="0"/>
            </w:pPr>
            <w:r/>
            <w:r>
              <w:rPr>
                <w:rFonts w:ascii="Times New Roman" w:hAnsi="Times New Roman"/>
                <w:b w:val="0"/>
                <w:sz w:val="14"/>
              </w:rPr>
              <w:t>data, podpis / podpis elektroniczny</w:t>
            </w:r>
          </w:p>
        </w:tc>
      </w:tr>
    </w:tbl>
    <w:p/>
    <w:sectPr w:rsidR="00FC693F" w:rsidRPr="0006063C" w:rsidSect="00034616">
      <w:footerReference w:type="default" r:id="rId9"/>
      <w:pgSz w:w="12240" w:h="15840"/>
      <w:pgMar w:top="765" w:right="765" w:bottom="680"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FIXON — Regulamin Produktów Testowych i Premierowych | strona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