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ZAŁĄCZNIK NR 4</w:t>
      </w:r>
    </w:p>
    <w:p>
      <w:pPr>
        <w:spacing w:after="160" w:line="240" w:lineRule="auto"/>
        <w:jc w:val="center"/>
      </w:pPr>
      <w:r>
        <w:rPr>
          <w:rFonts w:ascii="Times New Roman" w:hAnsi="Times New Roman"/>
          <w:b/>
          <w:sz w:val="26"/>
        </w:rPr>
        <w:t>LISTA PRODUKTÓW OBJĘTYCH WSPARCIEM MAGAZYNOWYM FIXON</w:t>
      </w:r>
    </w:p>
    <w:p>
      <w:pPr>
        <w:spacing w:after="120" w:line="240" w:lineRule="auto"/>
      </w:pPr>
      <w:r>
        <w:rPr>
          <w:rFonts w:ascii="Times New Roman" w:hAnsi="Times New Roman"/>
          <w:b w:val="0"/>
          <w:sz w:val="18"/>
        </w:rPr>
        <w:t>Dokument określa produkty objęte wsparciem magazynowym Partnera, status ujęcia produktu, aktualne maximum sprzedaży, przyznane stany magazynowe, próg alarmowy oraz wartość brutto przyznanego magazynu. Dane mogą być kopiowane z arkusza „Magazyn” prowadzonego w ramach cennika i dokumentów programowych FIXON.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33"/>
        <w:gridCol w:w="3733"/>
        <w:gridCol w:w="3733"/>
        <w:gridCol w:w="3733"/>
      </w:tblGrid>
      <w:tr>
        <w:tc>
          <w:tcPr>
            <w:tcW w:type="dxa" w:w="3733"/>
            <w:shd w:fill="D9EAF7"/>
            <w:vAlign w:val="center"/>
          </w:tcPr>
          <w:p>
            <w:r/>
            <w:r>
              <w:rPr>
                <w:rFonts w:ascii="Times New Roman" w:hAnsi="Times New Roman"/>
                <w:b/>
                <w:sz w:val="17"/>
              </w:rPr>
              <w:t>Partner</w:t>
            </w:r>
          </w:p>
        </w:tc>
        <w:tc>
          <w:tcPr>
            <w:tcW w:type="dxa" w:w="373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................................................</w:t>
            </w:r>
          </w:p>
        </w:tc>
        <w:tc>
          <w:tcPr>
            <w:tcW w:type="dxa" w:w="3733"/>
            <w:shd w:fill="D9EAF7"/>
            <w:vAlign w:val="center"/>
          </w:tcPr>
          <w:p>
            <w:r/>
            <w:r>
              <w:rPr>
                <w:rFonts w:ascii="Times New Roman" w:hAnsi="Times New Roman"/>
                <w:b/>
                <w:sz w:val="17"/>
              </w:rPr>
              <w:t>Data dokumentu</w:t>
            </w:r>
          </w:p>
        </w:tc>
        <w:tc>
          <w:tcPr>
            <w:tcW w:type="dxa" w:w="373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................................</w:t>
            </w:r>
          </w:p>
        </w:tc>
      </w:tr>
      <w:tr>
        <w:tc>
          <w:tcPr>
            <w:tcW w:type="dxa" w:w="3733"/>
            <w:shd w:fill="D9EAF7"/>
            <w:vAlign w:val="center"/>
          </w:tcPr>
          <w:p>
            <w:r/>
            <w:r>
              <w:rPr>
                <w:rFonts w:ascii="Times New Roman" w:hAnsi="Times New Roman"/>
                <w:b/>
                <w:sz w:val="17"/>
              </w:rPr>
              <w:t>Okres / wersja</w:t>
            </w:r>
          </w:p>
        </w:tc>
        <w:tc>
          <w:tcPr>
            <w:tcW w:type="dxa" w:w="373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................................................</w:t>
            </w:r>
          </w:p>
        </w:tc>
        <w:tc>
          <w:tcPr>
            <w:tcW w:type="dxa" w:w="3733"/>
            <w:shd w:fill="D9EAF7"/>
            <w:vAlign w:val="center"/>
          </w:tcPr>
          <w:p>
            <w:r/>
            <w:r>
              <w:rPr>
                <w:rFonts w:ascii="Times New Roman" w:hAnsi="Times New Roman"/>
                <w:b/>
                <w:sz w:val="17"/>
              </w:rPr>
              <w:t>Waluta</w:t>
            </w:r>
          </w:p>
        </w:tc>
        <w:tc>
          <w:tcPr>
            <w:tcW w:type="dxa" w:w="373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PLN</w:t>
            </w:r>
          </w:p>
        </w:tc>
      </w:tr>
      <w:tr>
        <w:tc>
          <w:tcPr>
            <w:tcW w:type="dxa" w:w="3733"/>
            <w:shd w:fill="D9EAF7"/>
            <w:vAlign w:val="center"/>
          </w:tcPr>
          <w:p>
            <w:r/>
            <w:r>
              <w:rPr>
                <w:rFonts w:ascii="Times New Roman" w:hAnsi="Times New Roman"/>
                <w:b/>
                <w:sz w:val="17"/>
              </w:rPr>
              <w:t>Współczynnik wsparcia</w:t>
            </w:r>
          </w:p>
        </w:tc>
        <w:tc>
          <w:tcPr>
            <w:tcW w:type="dxa" w:w="373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40%</w:t>
            </w:r>
          </w:p>
        </w:tc>
        <w:tc>
          <w:tcPr>
            <w:tcW w:type="dxa" w:w="3733"/>
            <w:shd w:fill="D9EAF7"/>
            <w:vAlign w:val="center"/>
          </w:tcPr>
          <w:p>
            <w:r/>
            <w:r>
              <w:rPr>
                <w:rFonts w:ascii="Times New Roman" w:hAnsi="Times New Roman"/>
                <w:b/>
                <w:sz w:val="17"/>
              </w:rPr>
              <w:t>Minimum sztuk</w:t>
            </w:r>
          </w:p>
        </w:tc>
        <w:tc>
          <w:tcPr>
            <w:tcW w:type="dxa" w:w="373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</w:tr>
      <w:tr>
        <w:tc>
          <w:tcPr>
            <w:tcW w:type="dxa" w:w="3733"/>
            <w:shd w:fill="D9EAF7"/>
            <w:vAlign w:val="center"/>
          </w:tcPr>
          <w:p>
            <w:r/>
            <w:r>
              <w:rPr>
                <w:rFonts w:ascii="Times New Roman" w:hAnsi="Times New Roman"/>
                <w:b/>
                <w:sz w:val="17"/>
              </w:rPr>
              <w:t>Wartość przyznanego magazynu</w:t>
            </w:r>
          </w:p>
        </w:tc>
        <w:tc>
          <w:tcPr>
            <w:tcW w:type="dxa" w:w="373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0,00 zł</w:t>
            </w:r>
          </w:p>
        </w:tc>
        <w:tc>
          <w:tcPr>
            <w:tcW w:type="dxa" w:w="3733"/>
            <w:shd w:fill="D9EAF7"/>
            <w:vAlign w:val="center"/>
          </w:tcPr>
          <w:p>
            <w:r/>
            <w:r>
              <w:rPr>
                <w:rFonts w:ascii="Times New Roman" w:hAnsi="Times New Roman"/>
                <w:b/>
                <w:sz w:val="17"/>
              </w:rPr>
              <w:t>Źródło danych</w:t>
            </w:r>
          </w:p>
        </w:tc>
        <w:tc>
          <w:tcPr>
            <w:tcW w:type="dxa" w:w="373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Arkusz „Magazyn”</w:t>
            </w:r>
          </w:p>
        </w:tc>
      </w:tr>
    </w:tbl>
    <w:p>
      <w:pPr>
        <w:spacing w:after="40" w:line="240" w:lineRule="auto"/>
      </w:pPr>
      <w:r>
        <w:rPr>
          <w:rFonts w:ascii="Times New Roman" w:hAnsi="Times New Roman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9"/>
        <w:gridCol w:w="1659"/>
        <w:gridCol w:w="1659"/>
        <w:gridCol w:w="1659"/>
        <w:gridCol w:w="1659"/>
        <w:gridCol w:w="1659"/>
        <w:gridCol w:w="1659"/>
        <w:gridCol w:w="1659"/>
        <w:gridCol w:w="1659"/>
      </w:tblGrid>
      <w:tr>
        <w:trPr>
          <w:tblHeader w:val="true"/>
        </w:trPr>
        <w:tc>
          <w:tcPr>
            <w:tcW w:type="dxa" w:w="39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Lp.</w:t>
            </w:r>
          </w:p>
        </w:tc>
        <w:tc>
          <w:tcPr>
            <w:tcW w:type="dxa" w:w="368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Nazwa produktu</w:t>
            </w:r>
          </w:p>
        </w:tc>
        <w:tc>
          <w:tcPr>
            <w:tcW w:type="dxa" w:w="96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Cena brutto</w:t>
            </w:r>
          </w:p>
        </w:tc>
        <w:tc>
          <w:tcPr>
            <w:tcW w:type="dxa" w:w="90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Status wsparcia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Aktualne maximum sprzedaży</w:t>
            </w:r>
          </w:p>
        </w:tc>
        <w:tc>
          <w:tcPr>
            <w:tcW w:type="dxa" w:w="96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Przyznane stany</w:t>
            </w:r>
          </w:p>
        </w:tc>
        <w:tc>
          <w:tcPr>
            <w:tcW w:type="dxa" w:w="79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Próg alarmowy</w:t>
            </w:r>
          </w:p>
        </w:tc>
        <w:tc>
          <w:tcPr>
            <w:tcW w:type="dxa" w:w="102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Wartość brutto</w:t>
            </w:r>
          </w:p>
        </w:tc>
        <w:tc>
          <w:tcPr>
            <w:tcW w:type="dxa" w:w="85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Ujęcie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Zestaw LEVEL – System prowadzenia i profilowania 2 elementy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2 460,00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Zestaw MASTER – Kompleksowa praca brukarska 4 narzędzia. Pełna kontrola pracy.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1 550,00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3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Zestaw KRAWĘŻNIKI – Precyzyjne ustawianie obrzeży 2 narzędzia.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550,01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GRIX HOLD PRO Profesjonalny chwytak do kostki i płyt.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295,20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5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GRIX HOLD — Profesjonalny chwytak do kostki i płyt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240,00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6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GRIX – Profesjonalny chwytak brukarski 30–300mm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197,00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7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GRIX PLUS – Profesjonalny chwytak brukarski 30–300 mm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270,00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8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Adapter do podnoszenia – system GRIX (PLUS / HOLD)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80,00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9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GRIX HARD – Chwytak do koparki 50–500 mm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650,01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10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FlatFix DUO Profesjonalna nasadka do poziomicy z podwójnym systemem rolek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280,00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11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FlatFix z rolką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195,00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12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FlatFix – z plastikową podkładką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150,00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13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FlatFix Standartowa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120,00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14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KatFix PRO – precyzyjne wyznaczanie kątów i długości dla dużych formatów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270,60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15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KatFix — do precyzyjnego wyznaczania kątów i długości podczas cięcia kostki b...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195,00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16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LineFix — profesjonalny uchwyt do sznurka brukarskiego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140,00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17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FlatFix PLUS - Standartowa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145,00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18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FlatFix PLUS - z plastikową podstawą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180,00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19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FlatFix PLUS - z rolką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220,00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20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BLOCKLIFT 500 - Chwytak do ciężkich bloków.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2 400,00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21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BLOCKLIFT 300 -Chwytak do ciężkich bloków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1 250,00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22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CyrkielFix – cyrkiel budowlany do dużych okręgów (do 120 cm)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145,00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23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BRUKFILL Profesjonalne urządzenie do fugowania kostki brukowej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11 000,00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24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KrawFix INOX — profesjonalny ściągacz podbudowy ze stali nierdzewnej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320,50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25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KrawFix ROLLER – ściągacz podbudowy z rolkami z nierdzewnej stali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470,00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26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KrawFix – ściągacz podbudowy przy krawężnikach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240,00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27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MONOX 6.0 Profesjonalny grader drogowy 6.0m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9 864,60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28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MONOX 8.0 Profesjonalny grader drogowy 8 m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13 800,00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29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FormFix DUAL Ręczna łata profilująca ze stali nierdzewnej z podwójnymi rolkami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2 460,00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30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FormFix MAX 1250–3500 mm Profesjonalna ręczna łata profilująca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1 470,00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31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FormFix ot 1250 do 2200 mm regulacja — ręczna łata profilująca ze stali nierd...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980,00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32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FormFixMini 80–130 cm— kompaktowa łata profilująca z regulacją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660,01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33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HandLift – uniwersalny chwytak brukarski do 60 sm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280,00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34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GRIPTOR — chwytak do płyt i krawężników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340,00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35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HARDTAP – ubijak ręczny 5 kg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220,00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36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HARDTAP – ubijak ręczny 10 kg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282,90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37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HARDTAP – ubijak ręczny15 kg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332,10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38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HARDTAP – ubijak ręczny 20kg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369,00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39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RolLift – wózek brukarski do transportu płyt i krawężników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740,00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40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LiftX – uchwyt poszerzający do wózka brukarskiego RollFit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340,00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41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Zagęszczarka płytowa gruntu 120 kg 32 kN LONCIN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4 700,00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42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WallFix – zestaw szalunku ślizgowego do murków oporowych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1 650,00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43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LevelFix — system prowadzenia łat profilujących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1 799,66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44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ODBOJNIK GUMOWY 60x30x22mm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10,00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45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Odbojnik do GRIX PLUS – element ochronny ze stali nierdzewnej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95,01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46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UrbanRoot STEEL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1 970,00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47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UrbanRoot INOX Kratownica przydrzewna ze stali nierdzewnej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3 383,00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  <w:tr>
        <w:tc>
          <w:tcPr>
            <w:tcW w:type="dxa" w:w="3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48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3"/>
              </w:rPr>
              <w:t>UrbanRoot CUSTOM Kratownica przydrzewna wykonywana na indywidualne zamówienie</w:t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2 999,99 zł</w:t>
            </w:r>
          </w:p>
        </w:tc>
        <w:tc>
          <w:tcPr>
            <w:tcW w:type="dxa" w:w="907"/>
            <w:vAlign w:val="center"/>
            <w:shd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96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0,00 zł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NIEUJĘTY</w:t>
            </w:r>
          </w:p>
        </w:tc>
      </w:tr>
    </w:tbl>
    <w:p>
      <w:pPr>
        <w:spacing w:after="40" w:line="240" w:lineRule="auto"/>
      </w:pPr>
      <w:r>
        <w:rPr>
          <w:rFonts w:ascii="Times New Roman" w:hAnsi="Times New Roman"/>
          <w:b w:val="0"/>
          <w:sz w:val="20"/>
        </w:rPr>
      </w:r>
    </w:p>
    <w:p>
      <w:pPr>
        <w:spacing w:after="80" w:line="240" w:lineRule="auto"/>
        <w:jc w:val="center"/>
      </w:pPr>
      <w:r>
        <w:rPr>
          <w:rFonts w:ascii="Times New Roman" w:hAnsi="Times New Roman"/>
          <w:b/>
          <w:sz w:val="20"/>
        </w:rPr>
        <w:t>Klauzula zastrzeżeń i zatwierdzenie</w:t>
      </w:r>
    </w:p>
    <w:p>
      <w:pPr>
        <w:spacing w:after="160" w:line="240" w:lineRule="auto"/>
      </w:pPr>
      <w:r>
        <w:rPr>
          <w:rFonts w:ascii="Times New Roman" w:hAnsi="Times New Roman"/>
          <w:b w:val="0"/>
          <w:sz w:val="17"/>
        </w:rPr>
        <w:t>Zastrzeżenia do niniejszej Listy Produktów Objętych Wsparciem Magazynowym FIXON mogą zostać zgłoszone w terminie 7 dni od dnia jej dostarczenia Partnerowi. Brak zgłoszenia zastrzeżeń w powyższym terminie oznacza przyjęcie dokumentu do wiadomości i stosowania w bieżącej współpracy w ramach Programu Partnerskiego FIXON. W przypadku zgłoszenia zastrzeżeń dokument nie zostaje przyjęty w trybie braku zastrzeżeń w zakresie objętym zgłoszeniem, a Strony wyjaśniają jego treść, usuwają rozbieżności albo przygotowują końcową uzgodnioną wersję dokumentu. Końcowa wersja dokumentu, do którego zgłoszono zastrzeżenia, wymaga zatwierdzenia przez obie Strony w formie podpisów osobistych albo podpisów elektronicznych zaakceptowanych przez Strony, chyba że Strony wyraźnie uzgodnią inną formę zatwierdzenia w korespondencji dokumentowej.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66"/>
        <w:gridCol w:w="7466"/>
      </w:tblGrid>
      <w:tr>
        <w:tc>
          <w:tcPr>
            <w:tcW w:type="dxa" w:w="746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DOSTAWCA / OSOBA UPOWAŻNIONA</w:t>
            </w:r>
          </w:p>
        </w:tc>
        <w:tc>
          <w:tcPr>
            <w:tcW w:type="dxa" w:w="746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PARTNER / OSOBA UPOWAŻNIONA</w:t>
            </w:r>
          </w:p>
        </w:tc>
      </w:tr>
      <w:tr>
        <w:tc>
          <w:tcPr>
            <w:tcW w:type="dxa" w:w="746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br/>
              <w:br/>
              <w:t>................................................</w:t>
              <w:br/>
              <w:t>Data i podpis / podpis elektroniczny</w:t>
            </w:r>
          </w:p>
        </w:tc>
        <w:tc>
          <w:tcPr>
            <w:tcW w:type="dxa" w:w="746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br/>
              <w:br/>
              <w:t>................................................</w:t>
              <w:br/>
              <w:t>Data i podpis / podpis elektroniczny</w:t>
            </w:r>
          </w:p>
        </w:tc>
      </w:tr>
      <w:tr>
        <w:tc>
          <w:tcPr>
            <w:tcW w:type="dxa" w:w="746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Uwagi: ...............................................................</w:t>
            </w:r>
          </w:p>
        </w:tc>
        <w:tc>
          <w:tcPr>
            <w:tcW w:type="dxa" w:w="746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Uwagi: ...............................................................</w:t>
            </w:r>
          </w:p>
        </w:tc>
      </w:tr>
    </w:tbl>
    <w:sectPr w:rsidR="00FC693F" w:rsidRPr="0006063C" w:rsidSect="00034616">
      <w:pgSz w:w="15840" w:h="12240" w:orient="landscape"/>
      <w:pgMar w:top="567" w:right="454" w:bottom="567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