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Berichtsverfahren</w:t>
      </w:r>
    </w:p>
    <w:p>
      <w:r>
        <w:t xml:space="preserve">Modell der Berichterstattung über Verkäufe, Zustände und Aktivitäten im Rahmen der Zusammenarbeit.</w:t>
      </w:r>
    </w:p>
    <w:p>
      <w:r>
        <w:t xml:space="preserve">Ein Programmdokument, das die Regeln für die Meldung von Verkaufsberichten, Beständen, Abweichungen, Warnschwellen und Ereignissen im Zusammenhang mit FIXON-Produkten angibt.</w:t>
      </w:r>
    </w:p>
    <w:tbl>
      <w:tblPr>
        <w:tblW w:w="0" w:type="auto"/>
        <w:tblBorders>
          <w:top w:val="single" w:sz="4"/>
          <w:left w:val="single" w:sz="4"/>
          <w:bottom w:val="single" w:sz="4"/>
          <w:right w:val="single" w:sz="4"/>
          <w:insideH w:val="single" w:sz="4"/>
          <w:insideV w:val="single" w:sz="4"/>
        </w:tblBorders>
      </w:tblPr>
      <w:tr>
        <w:tc>
          <w:tcPr>
            <w:tcW w:w="2400" w:type="dxa"/>
          </w:tcPr>
          <w:p>
            <w:r>
              <w:t xml:space="preserve">Dokumentnummer</w:t>
            </w:r>
          </w:p>
        </w:tc>
        <w:tc>
          <w:tcPr>
            <w:tcW w:w="2400" w:type="dxa"/>
          </w:tcPr>
          <w:p>
            <w:r>
              <w:t xml:space="preserve">PR/FIXON/</w:t>
            </w:r>
          </w:p>
        </w:tc>
      </w:tr>
      <w:tr>
        <w:tc>
          <w:tcPr>
            <w:tcW w:w="2400" w:type="dxa"/>
          </w:tcPr>
          <w:p>
            <w:r>
              <w:t xml:space="preserve">Datum der Ausstellung</w:t>
            </w:r>
          </w:p>
        </w:tc>
        <w:tc>
          <w:tcPr>
            <w:tcW w:w="2400" w:type="dxa"/>
          </w:tcPr>
          <w:p>
            <w:r>
              <w:t xml:space="preserve">____ / ____ / ______</w:t>
            </w:r>
          </w:p>
        </w:tc>
      </w:tr>
      <w:tr>
        <w:tc>
          <w:tcPr>
            <w:tcW w:w="2400" w:type="dxa"/>
          </w:tcPr>
          <w:p>
            <w:r>
              <w:t xml:space="preserve">Fassung</w:t>
            </w:r>
          </w:p>
        </w:tc>
        <w:tc>
          <w:tcPr>
            <w:tcW w:w="2400" w:type="dxa"/>
          </w:tcPr>
          <w:p>
            <w:r>
              <w:t xml:space="preserve">____</w:t>
            </w:r>
          </w:p>
        </w:tc>
      </w:tr>
      <w:tr>
        <w:tc>
          <w:tcPr>
            <w:tcW w:w="2400" w:type="dxa"/>
          </w:tcPr>
          <w:p>
            <w:r>
              <w:t xml:space="preserve">Partner</w:t>
            </w:r>
          </w:p>
        </w:tc>
        <w:tc>
          <w:tcPr>
            <w:tcW w:w="2400" w:type="dxa"/>
          </w:tcPr>
          <w:p>
            <w:r>
              <w:t xml:space="preserve">____________________________</w:t>
            </w:r>
          </w:p>
        </w:tc>
      </w:tr>
      <w:tr>
        <w:tc>
          <w:tcPr>
            <w:tcW w:w="2400" w:type="dxa"/>
          </w:tcPr>
          <w:p>
            <w:r>
              <w:t xml:space="preserve">Mediator</w:t>
            </w:r>
          </w:p>
        </w:tc>
        <w:tc>
          <w:tcPr>
            <w:tcW w:w="2400" w:type="dxa"/>
          </w:tcPr>
          <w:p>
            <w:r>
              <w:t xml:space="preserve">JHB FAMILY sp. z o.o. / Person führend:</w:t>
            </w:r>
          </w:p>
        </w:tc>
      </w:tr>
    </w:tbl>
    <w:p>
      <w:r>
        <w:t xml:space="preserve">Das Verfahren legt die Regeln für die Meldung von Verkäufen, Lagerbeständen, an den Partner übertragenen Produkten, verkauften, zurückgegebenen, beworbenen, beschädigten, verlorenen Produkten, die als Testwerkzeuge und auf Bestellung erhältliche Produkte verwendet werden, fest. Das Verfahren wird verwendet, um Verkäufe ordnungsgemäß abzurechnen, Rabatte festzulegen, den zugewiesenen Bestand zu aktualisieren, Alarmschwellenwerte zu verwenden und die Einhaltung der Zusammenarbeit mit dem FIXON-Partnerprogramm zu überprüfen.</w:t>
      </w:r>
    </w:p>
    <w:p>
      <w:r>
        <w:t xml:space="preserve">Der Partner gibt die Person an, die für die Erstellung und Übermittlung der Berichte und die Ersetzung verantwortlich ist. Die Daten dieser Personen sollten in die Partnercharta eingetragen oder dem Mediator in dokumentarischer Form übergeben werden. Die Änderung des Meldepflichtigen erfordert, dass die Aktualisierung spätestens drei Arbeitstage nach der Änderung übermittelt wird.</w:t>
      </w:r>
    </w:p>
    <w:tbl>
      <w:tblPr>
        <w:tblW w:w="0" w:type="auto"/>
        <w:tblBorders>
          <w:top w:val="single" w:sz="4"/>
          <w:left w:val="single" w:sz="4"/>
          <w:bottom w:val="single" w:sz="4"/>
          <w:right w:val="single" w:sz="4"/>
          <w:insideH w:val="single" w:sz="4"/>
          <w:insideV w:val="single" w:sz="4"/>
        </w:tblBorders>
      </w:tblPr>
      <w:tr>
        <w:tc>
          <w:tcPr>
            <w:tcW w:w="2400" w:type="dxa"/>
          </w:tcPr>
          <w:p>
            <w:r>
              <w:t xml:space="preserve">Funktion</w:t>
            </w:r>
          </w:p>
        </w:tc>
        <w:tc>
          <w:tcPr>
            <w:tcW w:w="2400" w:type="dxa"/>
          </w:tcPr>
          <w:p>
            <w:r>
              <w:t xml:space="preserve">Name</w:t>
            </w:r>
          </w:p>
        </w:tc>
        <w:tc>
          <w:tcPr>
            <w:tcW w:w="2400" w:type="dxa"/>
          </w:tcPr>
          <w:p>
            <w:r>
              <w:t xml:space="preserve">E-Mail / Telefon</w:t>
            </w:r>
          </w:p>
        </w:tc>
        <w:tc>
          <w:tcPr>
            <w:tcW w:w="2400" w:type="dxa"/>
          </w:tcPr>
          <w:p>
            <w:r>
              <w:t xml:space="preserve">Bemerkungen</w:t>
            </w:r>
          </w:p>
        </w:tc>
      </w:tr>
      <w:tr>
        <w:tc>
          <w:tcPr>
            <w:tcW w:w="2400" w:type="dxa"/>
          </w:tcPr>
          <w:p>
            <w:r>
              <w:t xml:space="preserve">Meldende Person</w:t>
            </w:r>
          </w:p>
        </w:tc>
        <w:tc>
          <w:tcPr>
            <w:tcW w:w="2400" w:type="dxa"/>
          </w:tcPr>
          <w:p>
            <w:r>
              <w:t xml:space="preserve">____________________________</w:t>
            </w:r>
          </w:p>
        </w:tc>
        <w:tc>
          <w:tcPr>
            <w:tcW w:w="2400" w:type="dxa"/>
          </w:tcPr>
          <w:p>
            <w:r>
              <w:t xml:space="preserve">____________________________</w:t>
            </w:r>
          </w:p>
        </w:tc>
        <w:tc>
          <w:tcPr>
            <w:tcW w:w="2400" w:type="dxa"/>
          </w:tcPr>
          <w:p>
            <w:r>
              <w:t xml:space="preserve">____________________________</w:t>
            </w:r>
          </w:p>
        </w:tc>
      </w:tr>
      <w:tr>
        <w:tc>
          <w:tcPr>
            <w:tcW w:w="2400" w:type="dxa"/>
          </w:tcPr>
          <w:p>
            <w:r>
              <w:t xml:space="preserve">Ersatz</w:t>
            </w:r>
          </w:p>
        </w:tc>
        <w:tc>
          <w:tcPr>
            <w:tcW w:w="2400" w:type="dxa"/>
          </w:tcPr>
          <w:p>
            <w:r>
              <w:t xml:space="preserve">____________________________</w:t>
            </w:r>
          </w:p>
        </w:tc>
        <w:tc>
          <w:tcPr>
            <w:tcW w:w="2400" w:type="dxa"/>
          </w:tcPr>
          <w:p>
            <w:r>
              <w:t xml:space="preserve">____________________________</w:t>
            </w:r>
          </w:p>
        </w:tc>
        <w:tc>
          <w:tcPr>
            <w:tcW w:w="2400" w:type="dxa"/>
          </w:tcPr>
          <w:p>
            <w:r>
              <w:t xml:space="preserve">____________________________</w:t>
            </w:r>
          </w:p>
        </w:tc>
      </w:tr>
      <w:tr>
        <w:tc>
          <w:tcPr>
            <w:tcW w:w="2400" w:type="dxa"/>
          </w:tcPr>
          <w:p>
            <w:r>
              <w:t xml:space="preserve">Person auf Mediatorseite</w:t>
            </w:r>
          </w:p>
        </w:tc>
        <w:tc>
          <w:tcPr>
            <w:tcW w:w="2400" w:type="dxa"/>
          </w:tcPr>
          <w:p>
            <w:r>
              <w:t xml:space="preserve">____________________________</w:t>
            </w:r>
          </w:p>
        </w:tc>
        <w:tc>
          <w:tcPr>
            <w:tcW w:w="2400" w:type="dxa"/>
          </w:tcPr>
          <w:p>
            <w:r>
              <w:t xml:space="preserve">____________________________</w:t>
            </w:r>
          </w:p>
        </w:tc>
        <w:tc>
          <w:tcPr>
            <w:tcW w:w="2400" w:type="dxa"/>
          </w:tcPr>
          <w:p>
            <w:r>
              <w:t xml:space="preserve">____________________________</w:t>
            </w:r>
          </w:p>
        </w:tc>
      </w:tr>
    </w:tbl>
    <w:p>
      <w:r>
        <w:t xml:space="preserve">Der monatliche Bericht wird bis zum 5. Tag des Monats nach Ablauf des Abrechnungszeitraums vorgelegt. Der Bericht kann per E-Mail, durch CRM-System, B2B-System, ein vom Lieferanten angegebenes Formular, ein Berichtsblatt oder ein anderes vom Lieferanten oder Mediator akzeptiertes Dokumentformular gesendet werden. Fällt der 5. Tag des Monats auf einen Feiertag, so kann der Bericht am nächsten Arbeitstag übermittelt werden.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Berichtsgebiet</w:t>
            </w:r>
          </w:p>
        </w:tc>
        <w:tc>
          <w:tcPr>
            <w:tcW w:w="2400" w:type="dxa"/>
          </w:tcPr>
          <w:p>
            <w:r>
              <w:t xml:space="preserve">Datenumfang</w:t>
            </w:r>
          </w:p>
        </w:tc>
        <w:tc>
          <w:tcPr>
            <w:tcW w:w="2400" w:type="dxa"/>
          </w:tcPr>
          <w:p>
            <w:r>
              <w:t xml:space="preserve">Erforderlich/Bemerkungen</w:t>
            </w:r>
          </w:p>
        </w:tc>
      </w:tr>
      <w:tr>
        <w:tc>
          <w:tcPr>
            <w:tcW w:w="2400" w:type="dxa"/>
          </w:tcPr>
          <w:p>
            <w:r>
              <w:t xml:space="preserve">Verkauf von FIXON Produkten</w:t>
            </w:r>
          </w:p>
        </w:tc>
        <w:tc>
          <w:tcPr>
            <w:tcW w:w="2400" w:type="dxa"/>
          </w:tcPr>
          <w:p>
            <w:r>
              <w:t xml:space="preserve">Anzahl der verkauften Stück, Produktname, Index/SCU, Preis, Rabatt, Verkaufsdatum, Nummer des Verkaufsdokuments, Verkaufskanal.</w:t>
            </w:r>
          </w:p>
        </w:tc>
        <w:tc>
          <w:tcPr>
            <w:tcW w:w="2400" w:type="dxa"/>
          </w:tcPr>
          <w:p>
            <w:r>
              <w:t xml:space="preserve">JA / nach Berichtsmuster</w:t>
            </w:r>
          </w:p>
        </w:tc>
      </w:tr>
      <w:tr>
        <w:tc>
          <w:tcPr>
            <w:tcW w:w="2400" w:type="dxa"/>
          </w:tcPr>
          <w:p>
            <w:r>
              <w:t xml:space="preserve">Bestände</w:t>
            </w:r>
          </w:p>
        </w:tc>
        <w:tc>
          <w:tcPr>
            <w:tcW w:w="2400" w:type="dxa"/>
          </w:tcPr>
          <w:p>
            <w:r>
              <w:t xml:space="preserve">Erststatus, Abnahmen, Verkäufe, Rücksendungen, Endstatus, Lagerstatus, Alarmschwelle.</w:t>
            </w:r>
          </w:p>
        </w:tc>
        <w:tc>
          <w:tcPr>
            <w:tcW w:w="2400" w:type="dxa"/>
          </w:tcPr>
          <w:p>
            <w:r>
              <w:t xml:space="preserve">JA / nach Berichtsmuster</w:t>
            </w:r>
          </w:p>
        </w:tc>
      </w:tr>
      <w:tr>
        <w:tc>
          <w:tcPr>
            <w:tcW w:w="2400" w:type="dxa"/>
          </w:tcPr>
          <w:p>
            <w:r>
              <w:t xml:space="preserve">Startlager</w:t>
            </w:r>
          </w:p>
        </w:tc>
        <w:tc>
          <w:tcPr>
            <w:tcW w:w="2400" w:type="dxa"/>
          </w:tcPr>
          <w:p>
            <w:r>
              <w:t xml:space="preserve">Produkte, die im Rahmen des Ausgangslagers ausgegeben wurden, Verkäufe, Restzustand, Wert der zugewiesenen und verwendeten Obergrenze.</w:t>
            </w:r>
          </w:p>
        </w:tc>
        <w:tc>
          <w:tcPr>
            <w:tcW w:w="2400" w:type="dxa"/>
          </w:tcPr>
          <w:p>
            <w:r>
              <w:t xml:space="preserve">JA / nach Berichtsmuster</w:t>
            </w:r>
          </w:p>
        </w:tc>
      </w:tr>
      <w:tr>
        <w:tc>
          <w:tcPr>
            <w:tcW w:w="2400" w:type="dxa"/>
          </w:tcPr>
          <w:p>
            <w:r>
              <w:t xml:space="preserve">Speicherunterstützung</w:t>
            </w:r>
          </w:p>
        </w:tc>
        <w:tc>
          <w:tcPr>
            <w:tcW w:w="2400" w:type="dxa"/>
          </w:tcPr>
          <w:p>
            <w:r>
              <w:t xml:space="preserve">Unterstützte Produkte, aktuelle Höchstverkäufe, vergebene Zustände, Höhe der Zusätze, gemeldete Alarmschwellen.</w:t>
            </w:r>
          </w:p>
        </w:tc>
        <w:tc>
          <w:tcPr>
            <w:tcW w:w="2400" w:type="dxa"/>
          </w:tcPr>
          <w:p>
            <w:r>
              <w:t xml:space="preserve">JA / nach Berichtsmuster</w:t>
            </w:r>
          </w:p>
        </w:tc>
      </w:tr>
      <w:tr>
        <w:tc>
          <w:tcPr>
            <w:tcW w:w="2400" w:type="dxa"/>
          </w:tcPr>
          <w:p>
            <w:r>
              <w:t xml:space="preserve">Zollerzeugnisse</w:t>
            </w:r>
          </w:p>
        </w:tc>
        <w:tc>
          <w:tcPr>
            <w:tcW w:w="2400" w:type="dxa"/>
          </w:tcPr>
          <w:p>
            <w:r>
              <w:t xml:space="preserve">Produkte, die außerhalb des aktuellen Status, des Umsetzungsdatums, des Ausführungsstatus, des Verkaufswerts und gegebenenfalls der Umwandlung in Verkaufseinheiten bestellt wurden.</w:t>
            </w:r>
          </w:p>
        </w:tc>
        <w:tc>
          <w:tcPr>
            <w:tcW w:w="2400" w:type="dxa"/>
          </w:tcPr>
          <w:p>
            <w:r>
              <w:t xml:space="preserve">JA / nach Berichtsmuster</w:t>
            </w:r>
          </w:p>
        </w:tc>
      </w:tr>
      <w:tr>
        <w:tc>
          <w:tcPr>
            <w:tcW w:w="2400" w:type="dxa"/>
          </w:tcPr>
          <w:p>
            <w:r>
              <w:t xml:space="preserve">Rücksendungen und Beschwerden</w:t>
            </w:r>
          </w:p>
        </w:tc>
        <w:tc>
          <w:tcPr>
            <w:tcW w:w="2400" w:type="dxa"/>
          </w:tcPr>
          <w:p>
            <w:r>
              <w:t xml:space="preserve">Benachrichtigungsnummer, Benachrichtigungsdatum, Produkt, Menge, Grund, Status des Falls, Entscheidung des Lieferanten.</w:t>
            </w:r>
          </w:p>
        </w:tc>
        <w:tc>
          <w:tcPr>
            <w:tcW w:w="2400" w:type="dxa"/>
          </w:tcPr>
          <w:p>
            <w:r>
              <w:t xml:space="preserve">JA / nach Berichtsmuster</w:t>
            </w:r>
          </w:p>
        </w:tc>
      </w:tr>
      <w:tr>
        <w:tc>
          <w:tcPr>
            <w:tcW w:w="2400" w:type="dxa"/>
          </w:tcPr>
          <w:p>
            <w:r>
              <w:t xml:space="preserve">Expositions- und Testwerkzeuge</w:t>
            </w:r>
          </w:p>
        </w:tc>
        <w:tc>
          <w:tcPr>
            <w:tcW w:w="2400" w:type="dxa"/>
          </w:tcPr>
          <w:p>
            <w:r>
              <w:t xml:space="preserve">Produkte, die zur Exposition oder Prüfung, Zustand, Verschleiß, Beschädigung, Verlust, Verkauf mit Zustimmung des Lieferanten, falls zutreffend, eingereicht wurden.</w:t>
            </w:r>
          </w:p>
        </w:tc>
        <w:tc>
          <w:tcPr>
            <w:tcW w:w="2400" w:type="dxa"/>
          </w:tcPr>
          <w:p>
            <w:r>
              <w:t xml:space="preserve">JA / nach Berichtsmuster</w:t>
            </w:r>
          </w:p>
        </w:tc>
      </w:tr>
      <w:tr>
        <w:tc>
          <w:tcPr>
            <w:tcW w:w="2400" w:type="dxa"/>
          </w:tcPr>
          <w:p>
            <w:r>
              <w:t xml:space="preserve">Abweichungen und außergewöhnliche Ereignisse</w:t>
            </w:r>
          </w:p>
        </w:tc>
        <w:tc>
          <w:tcPr>
            <w:tcW w:w="2400" w:type="dxa"/>
          </w:tcPr>
          <w:p>
            <w:r>
              <w:t xml:space="preserve">Mängel, Schäden, Verluste, Inkompatibilitäten, Verzögerungen, logistische Ereignisse oder andere Umstände, die die Abwicklung beeinflussen.</w:t>
            </w:r>
          </w:p>
        </w:tc>
        <w:tc>
          <w:tcPr>
            <w:tcW w:w="2400" w:type="dxa"/>
          </w:tcPr>
          <w:p>
            <w:r>
              <w:t xml:space="preserve">JA / nach Berichtsmuster</w:t>
            </w:r>
          </w:p>
        </w:tc>
      </w:tr>
    </w:tbl>
    <w:p>
      <w:r>
        <w:t xml:space="preserve">Ein Partner kann jederzeit eine Warnschwelle melden, wenn der Zustand von mindestens einem von der Speicherunterstützung abgedeckten Gegenstand die für diesen Gegenstand festgelegte Warnschwelle erreicht. Eine Warnmeldung ersetzt nicht den monatlichen Bericht und sollte den aktuellen Stand aller von der Lagerungsunterstützung abgedeckten Produkte abdecken, damit bewertet werden kann, ob es angemessen ist, das gesamte Lagerhaus auf die zugeteilten Mengen aufzustocken.</w:t>
      </w:r>
    </w:p>
    <w:p>
      <w:r>
        <w:t xml:space="preserve">Der Lieferant oder Vermittler kann den Bericht überprüfen, Erklärungen, Fotos der Lagerbestände, Verkaufsunterlagen, Kopien von Rechnungsunterlagen oder andere Informationen anfordern, die erforderlich sind, um das korrekte Ergebnis des Verkaufs, des Rabatts, des zugeteilten Lagerbestands, des Warnschwellenwerts oder der Produkthaftung zu bestimmen. Der Partner sollte innerhalb von 3 Arbeitstagen Erklärungen abgeben, sofern die Parteien nichts anderes vereinbart haben.</w:t>
      </w:r>
    </w:p>
    <w:p>
      <w:r>
        <w:t xml:space="preserve">Wird der Bericht nicht fristgerecht vorgelegt, wird der unvollständige Bericht nicht übermittelt oder werden erhebliche Unstimmigkeiten nicht erläutert, so kann die Berechnung des Rabatts, die Ausstellung von Rechnungsunterlagen, die Hinzufügung des Lagers, die Aktualisierung des zugeteilten Lagerbestands und die Gewährung oder Beibehaltung zusätzlicher Zertifikate gemäß dem FIXON-Partnerschaftsprogramm ausgesetzt werden. Wenn der Partner den Bericht trotz des Anrufs nicht einreicht, kann der Lieferant die Zusammenarbeit auf der Grundlage der verfügbaren Daten abschließen, eine Bestandsaufnahme anfordern, die Lieferungen aussetzen oder andere im FIXON-Partnerschaftsprogramm vorgesehene Maßnahmen anwenden.</w:t>
      </w:r>
    </w:p>
    <w:p>
      <w:r>
        <w:t xml:space="preserve">Der Bericht wird gemäß dem vom Lieferanten oder Mediator angegebenen Berichtsmuster eingereicht. Der Modellbericht kann in Form einer Tabellenkalkulation, einer elektronischen Form, einer PDF-Datei, eines B2B-Systemexports oder einer anderen Dokumentenform vorliegen. Die Änderung der Vorlage des Berichts erfordert keinen Anhang, wenn sie dem Partner im Rahmen des FIXON-Partnerschaftsprogramms gemäß den Vorschriften für die Übermittlung der Programmplanungsdokumente vorgelegt wird.</w:t>
      </w:r>
    </w:p>
    <w:p>
      <w:r>
        <w:t xml:space="preserve">Der Partner kann diesem Meldeverfahren innerhalb von 7 Tagen nach Lieferung widersprechen. Das Fehlen von Vorbehalten innerhalb dieser Frist bedeutet die Annahme eines Verfahrens zur Information und Bewerbung im Rahmen der laufenden Zusammenarbeit im Rahmen des FIXON-Partnerschaftsprogramms. Im Falle einer Mitteilung der Beschwerdepunkte klären die Parteien den Inhalt des Dokuments, beseitigen die Unstimmigkeiten oder erstellen die endgültige vereinbarte Fassung des Dokuments.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Partner</w:t>
            </w:r>
          </w:p>
        </w:tc>
        <w:tc>
          <w:tcPr>
            <w:tcW w:w="2400" w:type="dxa"/>
          </w:tcPr>
          <w:p>
            <w:r>
              <w:t xml:space="preserve">Mediator</w:t>
            </w:r>
          </w:p>
        </w:tc>
      </w:tr>
      <w:tr>
        <w:tc>
          <w:tcPr>
            <w:tcW w:w="2400" w:type="dxa"/>
          </w:tcPr>
          <w:p>
            <w:r>
              <w:t xml:space="preserve">Name, Funktion:</w:t>
            </w:r>
          </w:p>
        </w:tc>
        <w:tc>
          <w:tcPr>
            <w:tcW w:w="2400" w:type="dxa"/>
          </w:tcPr>
          <w:p>
            <w:r>
              <w:t xml:space="preserve">Name, Funktion:</w:t>
            </w:r>
          </w:p>
        </w:tc>
        <w:tc>
          <w:tcPr>
            <w:tcW w:w="2400" w:type="dxa"/>
          </w:tcPr>
          <w:p>
            <w:r>
              <w:t xml:space="preserve">Name, Funktion:</w:t>
            </w:r>
          </w:p>
        </w:tc>
      </w:tr>
      <w:tr>
        <w:tc>
          <w:tcPr>
            <w:tcW w:w="2400" w:type="dxa"/>
          </w:tcPr>
          <w:p>
            <w:r>
              <w:t xml:space="preserve">Datum und Unterschrift / elektronische Unterschrift:</w:t>
            </w:r>
          </w:p>
        </w:tc>
        <w:tc>
          <w:tcPr>
            <w:tcW w:w="2400" w:type="dxa"/>
          </w:tcPr>
          <w:p>
            <w:r>
              <w:t xml:space="preserve">Datum und Unterschrift / elektronische Unterschrift:</w:t>
            </w:r>
          </w:p>
        </w:tc>
        <w:tc>
          <w:tcPr>
            <w:tcW w:w="2400" w:type="dxa"/>
          </w:tcPr>
          <w:p>
            <w:r>
              <w:t xml:space="preserve">Datum und Unterschrift / elektronische Unterschrift:</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