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Rückgabeverfahren</w:t>
      </w:r>
    </w:p>
    <w:p>
      <w:r>
        <w:t xml:space="preserve">Regeln für den Umgang mit Produktrücksendungen im Partnermodell.</w:t>
      </w:r>
    </w:p>
    <w:p>
      <w:r>
        <w:t xml:space="preserve">Ein Dokument mit den Regeln für die Meldung, Entgegennahme, Überprüfung und Abrechnung von Rücksendungen im Rahmen des FIXON-Partnerschaftsprogramms.</w:t>
      </w:r>
    </w:p>
    <w:tbl>
      <w:tblPr>
        <w:tblW w:w="0" w:type="auto"/>
        <w:tblBorders>
          <w:top w:val="single" w:sz="4"/>
          <w:left w:val="single" w:sz="4"/>
          <w:bottom w:val="single" w:sz="4"/>
          <w:right w:val="single" w:sz="4"/>
          <w:insideH w:val="single" w:sz="4"/>
          <w:insideV w:val="single" w:sz="4"/>
        </w:tblBorders>
      </w:tblPr>
      <w:tr>
        <w:tc>
          <w:tcPr>
            <w:tcW w:w="2400" w:type="dxa"/>
          </w:tcPr>
          <w:p>
            <w:r>
              <w:t xml:space="preserve">Feld</w:t>
            </w:r>
          </w:p>
        </w:tc>
        <w:tc>
          <w:tcPr>
            <w:tcW w:w="2400" w:type="dxa"/>
          </w:tcPr>
          <w:p>
            <w:r>
              <w:t xml:space="preserve">Daten/Wert</w:t>
            </w:r>
          </w:p>
        </w:tc>
      </w:tr>
      <w:tr>
        <w:tc>
          <w:tcPr>
            <w:tcW w:w="2400" w:type="dxa"/>
          </w:tcPr>
          <w:p>
            <w:r>
              <w:t xml:space="preserve">Dokumentnummer</w:t>
            </w:r>
          </w:p>
        </w:tc>
        <w:tc>
          <w:tcPr>
            <w:tcW w:w="2400" w:type="dxa"/>
          </w:tcPr>
          <w:p>
            <w:r>
              <w:t xml:space="preserve">ZST/FIX//</w:t>
            </w:r>
          </w:p>
        </w:tc>
      </w:tr>
      <w:tr>
        <w:tc>
          <w:tcPr>
            <w:tcW w:w="2400" w:type="dxa"/>
          </w:tcPr>
          <w:p>
            <w:r>
              <w:t xml:space="preserve">Datum der Ausstellung</w:t>
            </w:r>
          </w:p>
        </w:tc>
        <w:tc>
          <w:tcPr>
            <w:tcW w:w="2400" w:type="dxa"/>
          </w:tcPr>
          <w:p>
            <w:r>
              <w:t xml:space="preserve">____ / ____ / ______</w:t>
            </w:r>
          </w:p>
        </w:tc>
      </w:tr>
      <w:tr>
        <w:tc>
          <w:tcPr>
            <w:tcW w:w="2400" w:type="dxa"/>
          </w:tcPr>
          <w:p>
            <w:r>
              <w:t xml:space="preserve">Partner</w:t>
            </w:r>
          </w:p>
        </w:tc>
        <w:tc>
          <w:tcPr>
            <w:tcW w:w="2400" w:type="dxa"/>
          </w:tcPr>
          <w:p>
            <w:r>
              <w:t xml:space="preserve">________________________________________</w:t>
            </w:r>
          </w:p>
        </w:tc>
      </w:tr>
      <w:tr>
        <w:tc>
          <w:tcPr>
            <w:tcW w:w="2400" w:type="dxa"/>
          </w:tcPr>
          <w:p>
            <w:r>
              <w:t xml:space="preserve">Lieferanten</w:t>
            </w:r>
          </w:p>
        </w:tc>
        <w:tc>
          <w:tcPr>
            <w:tcW w:w="2400" w:type="dxa"/>
          </w:tcPr>
          <w:p>
            <w:r>
              <w:t xml:space="preserve">FIXON IRYNA MUKOSIEN</w:t>
            </w:r>
          </w:p>
        </w:tc>
      </w:tr>
      <w:tr>
        <w:tc>
          <w:tcPr>
            <w:tcW w:w="2400" w:type="dxa"/>
          </w:tcPr>
          <w:p>
            <w:r>
              <w:t xml:space="preserve">Mediator</w:t>
            </w:r>
          </w:p>
        </w:tc>
        <w:tc>
          <w:tcPr>
            <w:tcW w:w="2400" w:type="dxa"/>
          </w:tcPr>
          <w:p>
            <w:r>
              <w:t xml:space="preserve">JHB FAMILY sp. z o.o.</w:t>
            </w:r>
          </w:p>
        </w:tc>
      </w:tr>
      <w:tr>
        <w:tc>
          <w:tcPr>
            <w:tcW w:w="2400" w:type="dxa"/>
          </w:tcPr>
          <w:p>
            <w:r>
              <w:t xml:space="preserve">Zeitraum/Anwendungsbereich</w:t>
            </w:r>
          </w:p>
        </w:tc>
        <w:tc>
          <w:tcPr>
            <w:tcW w:w="2400" w:type="dxa"/>
          </w:tcPr>
          <w:p>
            <w:r>
              <w:t xml:space="preserve">ab / / abzubrechen oder zu aktualisieren</w:t>
            </w:r>
          </w:p>
        </w:tc>
      </w:tr>
    </w:tbl>
    <w:p>
      <w:r>
        <w:t xml:space="preserve">Das Verfahren legt einheitliche Regeln für die Abwicklung der Rücksendungen von FIXON-Produkten fest, die im Rahmen des Partnerprogrammprogramms an den Partner übergeben oder verkauft werden, einschließlich der Produkte aus dem Ausgangslager, der Produkte, die von der Lagerunterstützung abgedeckt sind, der individuell bestellten Produkte, der Ausstellungsstücke, der Testwerkzeuge und anderer Produkte oder Materialien, die dem Partner zur Verfügung gestellt werden. Zweck des Verfahrens ist es, den Informationsfluss zu organisieren, die Bestandslücke zu verringern, die Retouren korrekt zu begleichen und sicherzustellen, dass die Retouren nicht den Wert der Marken-, Produktqualitäts- oder Kooperationsregeln untergraben.</w:t>
      </w:r>
    </w:p>
    <w:p>
      <w:r>
        <w:t xml:space="preserve">Das Verfahren gilt für Rücksendungen des Partners an den Lieferanten oder an den vom Lieferanten oder Mediator angegebenen Ort. Das Verfahren umfasst Rückgaben, die sich aus der Beendigung der Zusammenarbeit, der Aktualisierung der Produktliste, dem Austausch von Risikopositionen, der Korrektur von Lagerbeständen, dem falschen Problem, der Übertragung von Produkten, der Entscheidung des Lieferanten, der angenommenen Beschwerde, der Rücknahme des Produkts aus dem Angebot oder anderen vereinbarten Umständen ergeben. Das Verfahren ersetzt nicht das FIXON-Beschwerdeverfahren, wenn die Grundlage für die Rückerstattung der vom Endkunden gemeldete Produktfehler ist.</w:t>
      </w:r>
    </w:p>
    <w:p>
      <w:r>
        <w:t xml:space="preserve">Die Erstattung sollte vor der Rücksendung der Ware mitgeteilt werden. In der Benachrichtigung sind der Partner, die Kontaktperson, die Dokumentennummer, der Grund für die Rücksendung, die Produktliste, die Menge, der Status der Produkte, die Rechnungsnummern oder die Transferdokumente, die vorgeschlagenen Empfangsmittel und die Frage anzugeben, ob sich die Rücksendung auf das verkaufte Produkt, das Lager, die Ausstellung, den Test, die Vorführung, die Premiere oder andere bezieht. Eine nicht angekündigte Rückerstattung kann vorbehaltlich angenommen oder dem Partner auf dessen Kosten zurückgegeben werden, wenn es nicht möglich ist, die Grundlage für die Rückerstattung zu ermitteln.</w:t>
      </w:r>
    </w:p>
    <w:p>
      <w:r>
        <w:t xml:space="preserve">Die Rücksendung setzt die Annahme des im Bereich der Zusammenarbeit handelnden Lieferanten oder Agenten voraus, es sei denn, die Rücksendung ist direkt auf die vorherige schriftliche Bestellung des Lieferanten zurückzuführen. Die Erstattung kann in Dokumentenform, insbesondere per E-Mail, über ein CRM-System, ein B2B-System oder einen Kommunikator akzeptiert werden. Rückzahlungsannahme bedeutet nicht die automatische Anerkennung des Wertes der Rückgabeabrechnung, die vom Zustand des Produkts, der Vollständigkeit, der Verpackung, der Dokumente und dem Rückgabegrund abhängen kann.</w:t>
      </w:r>
    </w:p>
    <w:p>
      <w:r>
        <w:t xml:space="preserve">Die zurückgegebene Ware sollte vollständig, sauber, für den Transport gesichert und so beschrieben sein, dass das Produkt und der Partner identifiziert werden. Das Produkt muss alle Elemente, Zubehörteile, Kennzeichnungen und Dokumente aufweisen, die mit dem Produkt bereitgestellt wurden, es sei denn, das Fehlen dieser Elemente ergibt sich aus der vom Lieferanten akzeptierten normalen Verwendung. Beschädigte, unvollständige, überbenutzte, zerstörte, veränderte, nicht gekennzeichnete oder zurückgegebene Produkte ohne die vorgeschriebenen Informationen können angenommen werden, sofern sie einen geringeren Wert haben oder nicht akzeptiert werden.</w:t>
      </w:r>
    </w:p>
    <w:p>
      <w:r>
        <w:t xml:space="preserve">Die Kosten für den Transport der zurückgegebenen Ware werden vom Partner getragen, es sei denn, der Rücksendegrund liegt beim Lieferanten oder die Parteien vereinbaren in Dokumentenform etwas anderes. Das Risiko des Verlustes, der Beschädigung oder der Zerstörung der Ware während des Transports zu dem vom Lieferanten angegebenen Ort wird vom Transportunternehmer getragen, es sei denn, die Parteien vereinbaren eine anderweitige Entgegennahme der Ware. Der Partner sollte das Produkt in einer Art, Wert und Gewicht angemessen schützen.</w:t>
      </w:r>
    </w:p>
    <w:p>
      <w:r>
        <w:t xml:space="preserve">Nach Erhalt der Ware führt der Lieferant oder die von ihm angegebene Person quantitative und qualitative Kontrollen der Rücksendung durch. Die Überprüfung kann die Überprüfung der Einhaltung des Rücksendedokuments, der Vollständigkeit, des Verpackungszustands, des technischen Zustands, der Gebrauchsspuren, der Beschädigung, des Schmutzes, der Änderungen, Kennzeichnungen, Produktnummern und der Einhaltung der Verkaufs- oder Übergabedokumente umfassen. Das Ergebnis der Überprüfung kann in Protokoll, E-Mail, Systemnotiz oder anderem Dokument beschrieben werden.</w:t>
      </w:r>
    </w:p>
    <w:p>
      <w:r>
        <w:t xml:space="preserve">Eine ohne Vorbehalt angenommene und angenommene Erstattung kann entweder durch eine Rechnungskorrektur, eine Bestandsanpassung, einen Ersatz eines Produkts, eine Verringerung der späteren Abrechnung, eine Aktualisierung des Berichts oder durch eine von den Parteien vereinbarte andere Regelung ausgeglichen werden. Die Rückgabe des beschädigten, unvollständigen, überbeanspruchten oder zurückgegebenen Produkts aus Gründen, die dem Partner zuzurechnen sind, kann mit einem Abzug des Wertes gemäß den Regeln des Partnerprogramms, der Preisliste, des Transferprotokolls oder der individuellen Lieferantenentscheidung abgewickelt werden.</w:t>
      </w:r>
    </w:p>
    <w:p>
      <w:r>
        <w:t xml:space="preserve">Im Falle der Beendigung der Zusammenarbeit ist der Partner verpflichtet, sich auf die Rückgabe der im Eigentum des Lieferanten verbleibenden Produkte, Materialien und Artikel vorzubereiten, insbesondere Produkte aus dem Ausgangslager, Produkte, die von Lagerunterstützung abgedeckt sind, Testwerkzeuge, Expositionselemente und Marketingmaterialien, sofern die Parteien nichts anderes vereinbart haben. Dem Satz sollte eine Zustandserklärung und gegebenenfalls ein Inventar vorangestellt werden. Das Versäumnis, bei der Entgegennahme oder Rückgabe mitzuwirken, kann den Wert der übertragenen Produkte gemäß dem Partnerprogramm ergeben.</w:t>
      </w:r>
    </w:p>
    <w:p>
      <w:r>
        <w:t xml:space="preserve">Eine Rückerstattung kann erforderlich sein: Rücksendeerklärung, Produktliste, Fotos, Statusbeschreibung, Transferdokument, Rechnungsnummer, monatliche Berichtsnummer, Diskrepanzprotokoll, Schadensprotokoll oder anderes Dokument, das vom Lieferanten oder Mediator angegeben wird. Die Dokumente können in Dokumentenform aufbewahrt werden. Der Partner sollte die Bestätigung der Übermittlung, des Empfangs und der Korrespondenz bezüglich der Rückgabe bis zur endgültigen Abwicklung aufbewahren.</w:t>
      </w:r>
    </w:p>
    <w:p>
      <w:r>
        <w:t xml:space="preserve">Rückgabetabelle</w:t>
      </w:r>
    </w:p>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Produktname/-element</w:t>
            </w:r>
          </w:p>
        </w:tc>
        <w:tc>
          <w:tcPr>
            <w:tcW w:w="2400" w:type="dxa"/>
          </w:tcPr>
          <w:p>
            <w:r>
              <w:t xml:space="preserve">Code/SKU</w:t>
            </w:r>
          </w:p>
        </w:tc>
        <w:tc>
          <w:tcPr>
            <w:tcW w:w="2400" w:type="dxa"/>
          </w:tcPr>
          <w:p>
            <w:r>
              <w:t xml:space="preserve">Menge</w:t>
            </w:r>
          </w:p>
        </w:tc>
        <w:tc>
          <w:tcPr>
            <w:tcW w:w="2400" w:type="dxa"/>
          </w:tcPr>
          <w:p>
            <w:r>
              <w:t xml:space="preserve">Produktstatus</w:t>
            </w:r>
          </w:p>
        </w:tc>
        <w:tc>
          <w:tcPr>
            <w:tcW w:w="2400" w:type="dxa"/>
          </w:tcPr>
          <w:p>
            <w:r>
              <w:t xml:space="preserve">Gründe für die Erstattung</w:t>
            </w:r>
          </w:p>
        </w:tc>
        <w:tc>
          <w:tcPr>
            <w:tcW w:w="2400" w:type="dxa"/>
          </w:tcPr>
          <w:p>
            <w:r>
              <w:t xml:space="preserve">Produktstatus</w:t>
            </w:r>
          </w:p>
        </w:tc>
        <w:tc>
          <w:tcPr>
            <w:tcW w:w="2400" w:type="dxa"/>
          </w:tcPr>
          <w:p>
            <w:r>
              <w:t xml:space="preserve">Bruttowert</w:t>
            </w:r>
          </w:p>
        </w:tc>
        <w:tc>
          <w:tcPr>
            <w:tcW w:w="2400" w:type="dxa"/>
          </w:tcPr>
          <w:p>
            <w:r>
              <w:t xml:space="preserve">Beschluss</w:t>
            </w:r>
          </w:p>
        </w:tc>
      </w:tr>
      <w:tr>
        <w:tc>
          <w:tcPr>
            <w:tcW w:w="2400" w:type="dxa"/>
          </w:tcPr>
          <w:p>
            <w:r>
              <w:t xml:space="preserve">1</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3</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4</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6</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7</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bl>
    <w:p>
      <w:r>
        <w:t xml:space="preserve">Reservierungs- und Genehmigungsklausel</w:t>
      </w:r>
    </w:p>
    <w:p>
      <w:r>
        <w:t xml:space="preserve">Dieses Dokument wird dem Partner im Rahmen des FIXON-Partnerschaftsprogramms übermittelt. Der Partner kann dem Inhalt des Dokuments innerhalb von 7 Tagen nach seiner Lieferung widersprechen. Werden innerhalb dieser Frist keine Vorbehalte geäußert, so wird ein Dokument zur Information und Verwendung im Rahmen der laufenden Zusammenarbeit angenommen. Im Falle einer Mitteilung der Beschwerdepunkte wird das Dokument nicht angenommen, ohne dass Einwände gegen den von der Erklärung abgedeckten Geltungsbereich erhoben werden, und die endgültige vereinbarte Fassung wird von beiden Vertragsparteien in Form von persönlichen Unterschriften oder elektronischen Unterschriften, die von den Vertragsparteien akzeptiert werden, genehmigt, sofern die Vertragsparteien im Schriftverkehr nichts anderes vereinbart haben.</w:t>
      </w:r>
    </w:p>
    <w:p>
      <w:r>
        <w:t xml:space="preserve">Unterschriften/Genehmigung der Endfassung</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Partner</w:t>
            </w:r>
          </w:p>
        </w:tc>
        <w:tc>
          <w:tcPr>
            <w:tcW w:w="2400" w:type="dxa"/>
          </w:tcPr>
          <w:p>
            <w:r>
              <w:t xml:space="preserve">Mediator</w:t>
            </w:r>
          </w:p>
        </w:tc>
      </w:tr>
      <w:tr>
        <w:tc>
          <w:tcPr>
            <w:tcW w:w="2400" w:type="dxa"/>
          </w:tcPr>
          <w:p>
            <w:r>
              <w:t xml:space="preserve">............................................................................................................................................................................................................................................................................................................................................................................................................................................................................................................................................................................................................................................................................................................................................................................................................................................................................................................................................................................................................................................................... Datum und Unterschrift / elektronische Signatur</w:t>
            </w:r>
          </w:p>
        </w:tc>
        <w:tc>
          <w:tcPr>
            <w:tcW w:w="2400" w:type="dxa"/>
          </w:tcPr>
          <w:p>
            <w:r>
              <w:t xml:space="preserve">............................................................................................................................................................................................................................................................................................................................................................................................................................................................................................................................................................................................................................................................................................................................................................................................................................................................................................................................................................................................................................................................... Datum und Unterschrift / elektronische Signatur</w:t>
            </w:r>
          </w:p>
        </w:tc>
        <w:tc>
          <w:tcPr>
            <w:tcW w:w="2400" w:type="dxa"/>
          </w:tcPr>
          <w:p>
            <w:r>
              <w:t xml:space="preserve">............................................................................................................................................................................................................................................................................................................................................................................................................................................................................................................................................................................................................................................................................................................................................................................................................................................................................................................................................................................................................................................................... Datum und Unterschrift / elektronische Signatur</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