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Anlage: Test- und Einführungsprodukte</w:t>
      </w:r>
    </w:p>
    <w:p>
      <w:r>
        <w:t xml:space="preserve">Nutzungsbedingungen für Test-, Demonstrations- und Premiere-Produkte.</w:t>
      </w:r>
    </w:p>
    <w:tbl>
      <w:tblPr>
        <w:tblW w:w="0" w:type="auto"/>
        <w:tblBorders>
          <w:top w:val="single" w:sz="4"/>
          <w:left w:val="single" w:sz="4"/>
          <w:bottom w:val="single" w:sz="4"/>
          <w:right w:val="single" w:sz="4"/>
          <w:insideH w:val="single" w:sz="4"/>
          <w:insideV w:val="single" w:sz="4"/>
        </w:tblBorders>
      </w:tblPr>
      <w:tr>
        <w:tc>
          <w:tcPr>
            <w:tcW w:w="2400" w:type="dxa"/>
          </w:tcPr>
          <w:p>
            <w:r>
              <w:t xml:space="preserve">Feld</w:t>
            </w:r>
          </w:p>
        </w:tc>
        <w:tc>
          <w:tcPr>
            <w:tcW w:w="2400" w:type="dxa"/>
          </w:tcPr>
          <w:p>
            <w:r>
              <w:t xml:space="preserve">Rubrik</w:t>
            </w:r>
          </w:p>
        </w:tc>
      </w:tr>
      <w:tr>
        <w:tc>
          <w:tcPr>
            <w:tcW w:w="2400" w:type="dxa"/>
          </w:tcPr>
          <w:p>
            <w:r>
              <w:t xml:space="preserve">Name des Dokuments</w:t>
            </w:r>
          </w:p>
        </w:tc>
        <w:tc>
          <w:tcPr>
            <w:tcW w:w="2400" w:type="dxa"/>
          </w:tcPr>
          <w:p>
            <w:r>
              <w:t xml:space="preserve">FIXE Test- und Premier Product Regulations</w:t>
            </w:r>
          </w:p>
        </w:tc>
      </w:tr>
      <w:tr>
        <w:tc>
          <w:tcPr>
            <w:tcW w:w="2400" w:type="dxa"/>
          </w:tcPr>
          <w:p>
            <w:r>
              <w:t xml:space="preserve">Fassung</w:t>
            </w:r>
          </w:p>
        </w:tc>
        <w:tc>
          <w:tcPr>
            <w:tcW w:w="2400" w:type="dxa"/>
          </w:tcPr>
          <w:p>
            <w:r>
              <w:t xml:space="preserve">[●]</w:t>
            </w:r>
          </w:p>
        </w:tc>
      </w:tr>
      <w:tr>
        <w:tc>
          <w:tcPr>
            <w:tcW w:w="2400" w:type="dxa"/>
          </w:tcPr>
          <w:p>
            <w:r>
              <w:t xml:space="preserve">Datum der Übermittlung an den Partner</w:t>
            </w:r>
          </w:p>
        </w:tc>
        <w:tc>
          <w:tcPr>
            <w:tcW w:w="2400" w:type="dxa"/>
          </w:tcPr>
          <w:p>
            <w:r>
              <w:t xml:space="preserve">[●]</w:t>
            </w:r>
          </w:p>
        </w:tc>
      </w:tr>
      <w:tr>
        <w:tc>
          <w:tcPr>
            <w:tcW w:w="2400" w:type="dxa"/>
          </w:tcPr>
          <w:p>
            <w:r>
              <w:t xml:space="preserve">Partner</w:t>
            </w:r>
          </w:p>
        </w:tc>
        <w:tc>
          <w:tcPr>
            <w:tcW w:w="2400" w:type="dxa"/>
          </w:tcPr>
          <w:p>
            <w:r>
              <w:t xml:space="preserve">[vollständiger Name des Partners]</w:t>
            </w:r>
          </w:p>
        </w:tc>
      </w:tr>
      <w:tr>
        <w:tc>
          <w:tcPr>
            <w:tcW w:w="2400" w:type="dxa"/>
          </w:tcPr>
          <w:p>
            <w:r>
              <w:t xml:space="preserve">Lieferanten</w:t>
            </w:r>
          </w:p>
        </w:tc>
        <w:tc>
          <w:tcPr>
            <w:tcW w:w="2400" w:type="dxa"/>
          </w:tcPr>
          <w:p>
            <w:r>
              <w:t xml:space="preserve">FIXON IRYNA MUKOSIEN</w:t>
            </w:r>
          </w:p>
        </w:tc>
      </w:tr>
      <w:tr>
        <w:tc>
          <w:tcPr>
            <w:tcW w:w="2400" w:type="dxa"/>
          </w:tcPr>
          <w:p>
            <w:r>
              <w:t xml:space="preserve">Mediator</w:t>
            </w:r>
          </w:p>
        </w:tc>
        <w:tc>
          <w:tcPr>
            <w:tcW w:w="2400" w:type="dxa"/>
          </w:tcPr>
          <w:p>
            <w:r>
              <w:t xml:space="preserve">JHB FAMILY sp. z o.o.</w:t>
            </w:r>
          </w:p>
        </w:tc>
      </w:tr>
      <w:tr>
        <w:tc>
          <w:tcPr>
            <w:tcW w:w="2400" w:type="dxa"/>
          </w:tcPr>
          <w:p>
            <w:r>
              <w:t xml:space="preserve">Antragsgrund</w:t>
            </w:r>
          </w:p>
        </w:tc>
        <w:tc>
          <w:tcPr>
            <w:tcW w:w="2400" w:type="dxa"/>
          </w:tcPr>
          <w:p>
            <w:r>
              <w:t xml:space="preserve">FIXON Partnerprogramm / Partner Card / Strategic Powers Card / Demonstration Center Card</w:t>
            </w:r>
          </w:p>
        </w:tc>
      </w:tr>
    </w:tbl>
    <w:p>
      <w:r>
        <w:t xml:space="preserve">1. Die Verordnung legt die Regeln für den Austausch, die Präsentation, den Test, den Verkauf, die Berichterstattung und die Abrechnung von Testprodukten und FIXON-Premiereprodukten fest, die im Rahmen des FIXON-Partnerschaftsprogramms an den Partner übertragen wurden.</w:t>
      </w:r>
    </w:p>
    <w:p>
      <w:r>
        <w:t xml:space="preserve">2. Die Verordnung gilt für Produkte, die als Testwerkzeuge, Demonstrationsprodukte, Premier-Produkte, Pre-Prime-Produkte, Marktmuster, Implementierungsprodukte und andere Produkte bestimmt sind, die dem Partner für Tests, Präsentation, Verkaufsvalidierung oder begrenzte Vermarktung geliefert werden.</w:t>
      </w:r>
    </w:p>
    <w:p>
      <w:r>
        <w:t xml:space="preserve">3. Die Allgemeinen Geschäftsbedingungen übertragen nicht das Eigentum an Test-, Premieren-, Demonstrations- oder Ausstellungsprodukten an den Partner, sofern nicht in einem gesonderten Dokument anders angegeben.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Konzept</w:t>
            </w:r>
          </w:p>
        </w:tc>
        <w:tc>
          <w:tcPr>
            <w:tcW w:w="2400" w:type="dxa"/>
          </w:tcPr>
          <w:p>
            <w:r>
              <w:t xml:space="preserve">Bedeutung</w:t>
            </w:r>
          </w:p>
        </w:tc>
      </w:tr>
      <w:tr>
        <w:tc>
          <w:tcPr>
            <w:tcW w:w="2400" w:type="dxa"/>
          </w:tcPr>
          <w:p>
            <w:r>
              <w:t xml:space="preserve">Testprodukt</w:t>
            </w:r>
          </w:p>
        </w:tc>
        <w:tc>
          <w:tcPr>
            <w:tcW w:w="2400" w:type="dxa"/>
          </w:tcPr>
          <w:p>
            <w:r>
              <w:t xml:space="preserve">das Produkt, das an den Partner zur Vorführung, Verifizierung durch den Kunden, Demonstrationsnutzung, Meinungsbildung oder Verkaufsunterstützung übergeben wurde, ohne seinen aktuellen Verkauf aus dem Lager des Partners zu ermitteln.</w:t>
            </w:r>
          </w:p>
        </w:tc>
      </w:tr>
      <w:tr>
        <w:tc>
          <w:tcPr>
            <w:tcW w:w="2400" w:type="dxa"/>
          </w:tcPr>
          <w:p>
            <w:r>
              <w:t xml:space="preserve">Freisetzungsprodukt</w:t>
            </w:r>
          </w:p>
        </w:tc>
        <w:tc>
          <w:tcPr>
            <w:tcW w:w="2400" w:type="dxa"/>
          </w:tcPr>
          <w:p>
            <w:r>
              <w:t xml:space="preserve">das Produkt wurde erstmals in das FIXON-Angebot aufgenommen oder in einer neuen Version, die ausgewählten Partnern vor der vollständigen Implementierung für die Standardverteilung zur Verfügung gestellt wurde.</w:t>
            </w:r>
          </w:p>
        </w:tc>
      </w:tr>
      <w:tr>
        <w:tc>
          <w:tcPr>
            <w:tcW w:w="2400" w:type="dxa"/>
          </w:tcPr>
          <w:p>
            <w:r>
              <w:t xml:space="preserve">Pre-Prime-Produkt</w:t>
            </w:r>
          </w:p>
        </w:tc>
        <w:tc>
          <w:tcPr>
            <w:tcW w:w="2400" w:type="dxa"/>
          </w:tcPr>
          <w:p>
            <w:r>
              <w:t xml:space="preserve">ein Produkt vor der vollständigen Kataloggenehmigung, das zur Marktprüfung, Demonstration oder Rückmeldung übermittelt wird.</w:t>
            </w:r>
          </w:p>
        </w:tc>
      </w:tr>
      <w:tr>
        <w:tc>
          <w:tcPr>
            <w:tcW w:w="2400" w:type="dxa"/>
          </w:tcPr>
          <w:p>
            <w:r>
              <w:t xml:space="preserve">Nachweisnutzung</w:t>
            </w:r>
          </w:p>
        </w:tc>
        <w:tc>
          <w:tcPr>
            <w:tcW w:w="2400" w:type="dxa"/>
          </w:tcPr>
          <w:p>
            <w:r>
              <w:t xml:space="preserve">kurzfristige Nutzung des Produkts unter Show- oder kontrollierten Bedingungen, um die Funktion des Produkts zu präsentieren, ohne sie dauerhaft an den Kunden zu übertragen.</w:t>
            </w:r>
          </w:p>
        </w:tc>
      </w:tr>
      <w:tr>
        <w:tc>
          <w:tcPr>
            <w:tcW w:w="2400" w:type="dxa"/>
          </w:tcPr>
          <w:p>
            <w:r>
              <w:t xml:space="preserve">Kundentest</w:t>
            </w:r>
          </w:p>
        </w:tc>
        <w:tc>
          <w:tcPr>
            <w:tcW w:w="2400" w:type="dxa"/>
          </w:tcPr>
          <w:p>
            <w:r>
              <w:t xml:space="preserve">dem Kunden erlauben, das Produkt vorübergehend zu überprüfen, wenn dies vom Lieferanten oder Mediator für das betreffende Produkt genehmigt wurde.</w:t>
            </w:r>
          </w:p>
        </w:tc>
      </w:tr>
      <w:tr>
        <w:tc>
          <w:tcPr>
            <w:tcW w:w="2400" w:type="dxa"/>
          </w:tcPr>
          <w:p>
            <w:r>
              <w:t xml:space="preserve">Feedback</w:t>
            </w:r>
          </w:p>
        </w:tc>
        <w:tc>
          <w:tcPr>
            <w:tcW w:w="2400" w:type="dxa"/>
          </w:tcPr>
          <w:p>
            <w:r>
              <w:t xml:space="preserve">Feedback zu Produktqualität, Ergonomie, Usability, Kundeninteresse, technischen Reservierungen, Änderungsvorschlägen oder Absatzpotenzial.</w:t>
            </w:r>
          </w:p>
        </w:tc>
      </w:tr>
    </w:tbl>
    <w:p>
      <w:r>
        <w:t xml:space="preserve">1. Test- und Premierenprodukte werden auf der Grundlage des Transferprotokolls, der Partnercharta, der Charta der strategischen Befugnisse, der Charta des Demonstrationszentrums oder eines anderen Dokuments, in dem Umfang, Anzahl, Wert und Zweck der Produkte angegeben sind, an den Partner übertragen.</w:t>
      </w:r>
    </w:p>
    <w:p>
      <w:r>
        <w:t xml:space="preserve">2. In dem Transferdokument sind mindestens der Name des Produkts, die Menge, der Katalogwert, der Status des Produkts, der Verwendungszweck, der Verwendungsort, die für den Partner verantwortliche Person und etwaige Beschränkungen für den Verkauf, die Prüfung oder die Veröffentlichung des Materials anzugeben.</w:t>
      </w:r>
    </w:p>
    <w:p>
      <w:r>
        <w:t xml:space="preserve">3. Der Partner verpflichtet sich, die Produkte so zu lagern, dass sie vor Verlust, Beschädigung, unbefugter Verwendung und Verwechslung mit kommerziellen Produkten geschützt sind.</w:t>
      </w:r>
    </w:p>
    <w:p>
      <w:r>
        <w:t xml:space="preserve">4. Test- und Premierenprodukte sollten in den Aufzeichnungen des Partners getrennt von den verkauften Produkten, den Produkten des Startlagers, den von der Lagerunterstützung abgedeckten Produkten und den vom Partner gekauften Produkten angegeben werden.</w:t>
      </w:r>
    </w:p>
    <w:p>
      <w:r>
        <w:t xml:space="preserve">1. Der Partner darf Test- und Launch-Produkte nur für die Zwecke seines Status verwenden, insbesondere für die Präsentation bei Kunden, die Demonstration von Aktivitäten, Verkaufstests, Verkaufsschulungen, Feldshows oder die Sammlung von Feedback.</w:t>
      </w:r>
    </w:p>
    <w:p>
      <w:r>
        <w:t xml:space="preserve">2. Ein Partner darf das Produkt nicht in einer Weise verwenden, die übermäßigen Verschleiß, Beschädigung, Verlust des kommerziellen Wertes, schlechte Qualitätsbewertung oder Irreführung des Kunden über den Zweck des Produkts verursacht.</w:t>
      </w:r>
    </w:p>
    <w:p>
      <w:r>
        <w:t xml:space="preserve">3. Bei der Präsentation von Produkten sollte der Partner seinen Status gemäß den von FIXON bereitgestellten Informationen mitteilen, insbesondere zwischen dem zum Verkauf stehenden Produkt und dem Test-, Premieren- oder Pre-Premiere-Produkt unterscheiden.</w:t>
      </w:r>
    </w:p>
    <w:p>
      <w:r>
        <w:t xml:space="preserve">4. Der Partner darf keine Parameter, Garantien, Verfügbarkeitsfristen, Produktionsoptionen oder Handelsbedingungen angeben, die nicht in aktuellen FIXON-Materialien oder vom Mediator bestätigt wurden.</w:t>
      </w:r>
    </w:p>
    <w:p>
      <w:r>
        <w:t xml:space="preserve">1. Das Test-, Demonstrations- oder Premierenprodukt darf nur dann an den Kunden verkauft werden, wenn sein Verkauf vom Lieferanten, Mediator oder einem entsprechenden Programmierdokument genehmigt wurde.</w:t>
      </w:r>
    </w:p>
    <w:p>
      <w:r>
        <w:t xml:space="preserve">2. Wenn der Verkauf des Testprodukts erlaubt ist, muss die Abrechnung auf dem Preis und den Regeln basieren, die in der Preisliste, der Partnercharta, der Charta der strategischen Befugnisse, dem Transferprotokoll oder der individuellen Lieferantenentscheidung angegeben sind.</w:t>
      </w:r>
    </w:p>
    <w:p>
      <w:r>
        <w:t xml:space="preserve">3. Das Hauptprodukt kann Verkaufsbeschränkungen für einen bestimmten Kanal, ein bestimmtes Gebiet, eine bestimmte Kundengruppe, ein Demonstrationszentrum, einen strategischen Partner oder einen Prioritätszeitraum unterliegen. Der Partner kann diesen Umfang nicht ohne Zustimmung des Lieferanten erweitern.</w:t>
      </w:r>
    </w:p>
    <w:p>
      <w:r>
        <w:t xml:space="preserve">4. Wenn das Testprodukt oder das Startprodukt ohne die erforderliche Zustimmung verkauft wird, kann dem Partner der volle Katalogwert, die Lieferkosten, die Kosten für die Rekonstruktion der Exposition und andere Kosten, die sich aus dem nicht autorisierten Betrieb ergeben, in Rechnung gestellt werden.</w:t>
      </w:r>
    </w:p>
    <w:p>
      <w:pPr>
        <w:pStyle w:val="Heading2"/>
      </w:pPr>
      <w:r>
        <w:t xml:space="preserve">1. Informationen über das Premieren-, Pre-Premise- oder Implementierungsprodukt dürfen vom Partner nur in dem von FIXON genehmigten Umfang veröffentlicht werden.</w:t>
      </w:r>
    </w:p>
    <w:p>
      <w:r>
        <w:t xml:space="preserve">2. Der Partner darf Fotos, Videos, Parameter, Preise, Einführungsdaten, Vergleiche mit dem Wettbewerb oder Ankündigungen der Verfügbarkeit des Premierenprodukts nicht ohne vorherige Bestätigung ihres Inhalts durch den Lieferanten oder Mediator veröffentlichen.</w:t>
      </w:r>
    </w:p>
    <w:p>
      <w:r>
        <w:t xml:space="preserve">3. Die Verkaufskommunikation des ersten Produkts sollte seine Funktion, seine Anwendung und seinen Wert für den Auftragnehmer betonen, ohne Versprechen zu machen, die nicht durch Tests, Dokumentationen oder FIXON-Materialien bestätigt wurden.</w:t>
      </w:r>
    </w:p>
    <w:p>
      <w:r>
        <w:t xml:space="preserve">4. Wenn ein Partner an der Entwicklung eines neuen Produkts teilnimmt oder einen wesentlichen Beitrag zu seiner Entwicklung geleistet hat, wird der Umfang der Priorität, die ursprüngliche Exklusivität oder die Marktkommunikation durch die Charta der strategischen Befugnisse oder ein anderes individuelles Dokument bestimmt.</w:t>
      </w:r>
    </w:p>
    <w:p>
      <w:r>
        <w:t xml:space="preserve">1. Ein Partner, der Test- oder Premierenprodukte einsetzt, verpflichtet sich, dem Lieferanten oder dem Mediator Feedback aus dem Markt zu geben, insbesondere in Bezug auf Kundeninteresse, Verkaufsfragen, technische Reservierungen, Produktnutzung, Leistungsreaktionen, mögliche strukturelle Veränderungen und Kaufbarrieren.</w:t>
      </w:r>
    </w:p>
    <w:p>
      <w:r>
        <w:t xml:space="preserve">2. Feedback sollte in Dokumentenform, insbesondere per E-Mail, in einem monatlichen Bericht, einem Feedbackformular oder einem anderen vereinbarten Kanal erfolgen.</w:t>
      </w:r>
    </w:p>
    <w:p>
      <w:r>
        <w:t xml:space="preserve">3. Das Versäumnis, Feedback zu geben, kann die Grundlage für die Einschränkung des Zugangs des Partners zu Testprodukten, Premierenprodukten, Exklusivität, zusätzlicher Exposition oder späteren Produktimplementierungen sein.</w:t>
      </w:r>
    </w:p>
    <w:p>
      <w:r>
        <w:t xml:space="preserve">1. Der normale Verbrauch des Produkts, der sich aus einer ordnungsgemäßen Demonstrationsanwendung ergibt, wird dem Partner nicht in Rechnung gestellt, wenn das Produkt gemäß dem vorgesehenen Verwendungszweck und den Bestimmungen dieser Verordnung verwendet wurde.</w:t>
      </w:r>
    </w:p>
    <w:p>
      <w:r>
        <w:t xml:space="preserve">2. Der Partner haftet für Beschädigung, Verlust, Zerstörung, Verlust oder unbefugte Weitergabe des Testprodukts oder der Premiere, wenn es das Verschulden seiner Mitarbeiter, Vertreter, Ämter, Unterauftragnehmer oder Personen war, denen er die Nutzung des Produkts ermöglicht hat.</w:t>
      </w:r>
    </w:p>
    <w:p>
      <w:r>
        <w:t xml:space="preserve">3. Test-, Vorführungs- oder Ausstellungsprodukte, die auf Verschulden des Partners beschädigt oder verloren gegangen sind, können zu 50% des Bruttokatalogpreises verrechnet werden, sofern das Transferdokument oder einzelne Vereinbarungen nichts anderes vorsehen.</w:t>
      </w:r>
    </w:p>
    <w:p>
      <w:r>
        <w:t xml:space="preserve">4. Premiere-, Pre-Prime- oder spezifische Implementierungsprodukte können zum vollen Katalogwert oder Restaurierungswert bilanziert werden, wenn die Art des Produkts, die begrenzte Verfügbarkeit oder das Ausmaß der Verletzung dies rechtfertigen.</w:t>
      </w:r>
    </w:p>
    <w:p>
      <w:r>
        <w:t xml:space="preserve">1. Der Lieferant oder Vermittler kann den Partner auffordern, den Test oder das Produkt nach Abschluss der Tests, Beendigung der Kampagne, Widerruf der Genehmigung, Beendigung der Zusammenarbeit, Aktualisierung der Produktversion oder in jedem anderen begründeten Fall zurückzugeben.</w:t>
      </w:r>
    </w:p>
    <w:p>
      <w:r>
        <w:t xml:space="preserve">2. Die Erstattung erfolgt innerhalb der in der Aufforderung angegebenen Frist, in einem Zustand, der der korrekten Demonstrationsverwendung entspricht, mit einem Satz von Elementen, Zubehör, Verpackung und Dokumenten, wenn sie übermittelt wurden.</w:t>
      </w:r>
    </w:p>
    <w:p>
      <w:r>
        <w:t xml:space="preserve">3. In Ermangelung einer Rückgabe innerhalb der Frist kann der Lieferant dem Partner den Wert des Produkts, die Transportkosten, die Kosten für die Wiederherstellung der Exposition und andere angemessene Kosten, die sich aus dem Fehlen einer Rückgabe ergeben, in Rechnung stellen.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Produkttyp</w:t>
            </w:r>
          </w:p>
        </w:tc>
        <w:tc>
          <w:tcPr>
            <w:tcW w:w="2400" w:type="dxa"/>
          </w:tcPr>
          <w:p>
            <w:r>
              <w:t xml:space="preserve">Umfang der Aufzeichnungen/Berichterstattung</w:t>
            </w:r>
          </w:p>
        </w:tc>
      </w:tr>
      <w:tr>
        <w:tc>
          <w:tcPr>
            <w:tcW w:w="2400" w:type="dxa"/>
          </w:tcPr>
          <w:p>
            <w:r>
              <w:t xml:space="preserve">Testprodukte</w:t>
            </w:r>
          </w:p>
        </w:tc>
        <w:tc>
          <w:tcPr>
            <w:tcW w:w="2400" w:type="dxa"/>
          </w:tcPr>
          <w:p>
            <w:r>
              <w:t xml:space="preserve">Name, Menge, Lagerort, verantwortliche Person, Verwendung, Zustand, Rückmeldung, Beschädigung oder Verlust.</w:t>
            </w:r>
          </w:p>
        </w:tc>
      </w:tr>
      <w:tr>
        <w:tc>
          <w:tcPr>
            <w:tcW w:w="2400" w:type="dxa"/>
          </w:tcPr>
          <w:p>
            <w:r>
              <w:t xml:space="preserve">Primeprodukte</w:t>
            </w:r>
          </w:p>
        </w:tc>
        <w:tc>
          <w:tcPr>
            <w:tcW w:w="2400" w:type="dxa"/>
          </w:tcPr>
          <w:p>
            <w:r>
              <w:t xml:space="preserve">Umsetzungsstatus, Präsentationsumfang, Kundeninteresse, Verkäufe, Anfragen, Reservierungen, Marktempfehlungen.</w:t>
            </w:r>
          </w:p>
        </w:tc>
      </w:tr>
      <w:tr>
        <w:tc>
          <w:tcPr>
            <w:tcW w:w="2400" w:type="dxa"/>
          </w:tcPr>
          <w:p>
            <w:r>
              <w:t xml:space="preserve">Demonstrationsprodukte</w:t>
            </w:r>
          </w:p>
        </w:tc>
        <w:tc>
          <w:tcPr>
            <w:tcW w:w="2400" w:type="dxa"/>
          </w:tcPr>
          <w:p>
            <w:r>
              <w:t xml:space="preserve">Anzahl der Präsentationen, Veranstaltungen, an Demonstrationen adressierte Kunden, technischer Zustand, muss abgeschlossen werden.</w:t>
            </w:r>
          </w:p>
        </w:tc>
      </w:tr>
      <w:tr>
        <w:tc>
          <w:tcPr>
            <w:tcW w:w="2400" w:type="dxa"/>
          </w:tcPr>
          <w:p>
            <w:r>
              <w:t xml:space="preserve">Verkaufte Erzeugnisse</w:t>
            </w:r>
          </w:p>
        </w:tc>
        <w:tc>
          <w:tcPr>
            <w:tcW w:w="2400" w:type="dxa"/>
          </w:tcPr>
          <w:p>
            <w:r>
              <w:t xml:space="preserve">Verkaufsdatum, Menge, Preis, Rabatt, Kunde oder Kanal, Abrechnung, mögliche Beschwerden.</w:t>
            </w:r>
          </w:p>
        </w:tc>
      </w:tr>
    </w:tbl>
    <w:p>
      <w:r>
        <w:t xml:space="preserve">Der Partner wird Test-, Prime-, Demonstrations- und Ausstellungsprodukte in einem monatlichen Bericht oder in einer anderen vom Lieferanten oder Mediator angegebenen Form aufnehmen, wenn ihr Status, ihre Verwendung, ihr Verkauf, ihr Verlust, ihre Beschädigung oder ihre Rückgabe sich auf Siedlungen, Lager, die Exposition oder die Bewertung der Zusammenarbeit auswirken.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Lp.</w:t>
            </w:r>
          </w:p>
        </w:tc>
        <w:tc>
          <w:tcPr>
            <w:tcW w:w="2400" w:type="dxa"/>
          </w:tcPr>
          <w:p>
            <w:r>
              <w:t xml:space="preserve">Produktbezeichnung</w:t>
            </w:r>
          </w:p>
        </w:tc>
        <w:tc>
          <w:tcPr>
            <w:tcW w:w="2400" w:type="dxa"/>
          </w:tcPr>
          <w:p>
            <w:r>
              <w:t xml:space="preserve">Status</w:t>
            </w:r>
          </w:p>
        </w:tc>
        <w:tc>
          <w:tcPr>
            <w:tcW w:w="2400" w:type="dxa"/>
          </w:tcPr>
          <w:p>
            <w:r>
              <w:t xml:space="preserve">Menge</w:t>
            </w:r>
          </w:p>
        </w:tc>
        <w:tc>
          <w:tcPr>
            <w:tcW w:w="2400" w:type="dxa"/>
          </w:tcPr>
          <w:p>
            <w:r>
              <w:t xml:space="preserve">Bruttoindexwert</w:t>
            </w:r>
          </w:p>
        </w:tc>
        <w:tc>
          <w:tcPr>
            <w:tcW w:w="2400" w:type="dxa"/>
          </w:tcPr>
          <w:p>
            <w:r>
              <w:t xml:space="preserve">Standort/Anlage</w:t>
            </w:r>
          </w:p>
        </w:tc>
        <w:tc>
          <w:tcPr>
            <w:tcW w:w="2400" w:type="dxa"/>
          </w:tcPr>
          <w:p>
            <w:r>
              <w:t xml:space="preserve">Verantwortliche Person</w:t>
            </w:r>
          </w:p>
        </w:tc>
        <w:tc>
          <w:tcPr>
            <w:tcW w:w="2400" w:type="dxa"/>
          </w:tcPr>
          <w:p>
            <w:r>
              <w:t xml:space="preserve">Datum der Erstattung/Überprüfung</w:t>
            </w:r>
          </w:p>
        </w:tc>
        <w:tc>
          <w:tcPr>
            <w:tcW w:w="2400" w:type="dxa"/>
          </w:tcPr>
          <w:p>
            <w:r>
              <w:t xml:space="preserve">Bemerkungen</w:t>
            </w:r>
          </w:p>
        </w:tc>
      </w:tr>
      <w:tr>
        <w:tc>
          <w:tcPr>
            <w:tcW w:w="2400" w:type="dxa"/>
          </w:tcPr>
          <w:p>
            <w:r>
              <w:t xml:space="preserve">1.</w:t>
            </w:r>
          </w:p>
        </w:tc>
        <w:tc>
          <w:tcPr>
            <w:tcW w:w="2400" w:type="dxa"/>
          </w:tcPr>
          <w:p>
            <w:r>
              <w:t xml:space="preserve">[●]</w:t>
            </w:r>
          </w:p>
        </w:tc>
        <w:tc>
          <w:tcPr>
            <w:tcW w:w="2400" w:type="dxa"/>
          </w:tcPr>
          <w:p>
            <w:r>
              <w:t xml:space="preserve">Test / Premiere / Demonstration</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r>
      <w:tr>
        <w:tc>
          <w:tcPr>
            <w:tcW w:w="2400" w:type="dxa"/>
          </w:tcPr>
          <w:p>
            <w:r>
              <w:t xml:space="preserve">2.</w:t>
            </w:r>
          </w:p>
        </w:tc>
        <w:tc>
          <w:tcPr>
            <w:tcW w:w="2400" w:type="dxa"/>
          </w:tcPr>
          <w:p>
            <w:r>
              <w:t xml:space="preserve">[●]</w:t>
            </w:r>
          </w:p>
        </w:tc>
        <w:tc>
          <w:tcPr>
            <w:tcW w:w="2400" w:type="dxa"/>
          </w:tcPr>
          <w:p>
            <w:r>
              <w:t xml:space="preserve">Test / Premiere / Demonstration</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r>
      <w:tr>
        <w:tc>
          <w:tcPr>
            <w:tcW w:w="2400" w:type="dxa"/>
          </w:tcPr>
          <w:p>
            <w:r>
              <w:t xml:space="preserve">3.</w:t>
            </w:r>
          </w:p>
        </w:tc>
        <w:tc>
          <w:tcPr>
            <w:tcW w:w="2400" w:type="dxa"/>
          </w:tcPr>
          <w:p>
            <w:r>
              <w:t xml:space="preserve">[●]</w:t>
            </w:r>
          </w:p>
        </w:tc>
        <w:tc>
          <w:tcPr>
            <w:tcW w:w="2400" w:type="dxa"/>
          </w:tcPr>
          <w:p>
            <w:r>
              <w:t xml:space="preserve">Test / Premiere / Demonstration</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c>
          <w:tcPr>
            <w:tcW w:w="2400" w:type="dxa"/>
          </w:tcPr>
          <w:p>
            <w:r>
              <w:t xml:space="preserve">[●]</w:t>
            </w:r>
          </w:p>
        </w:tc>
      </w:tr>
    </w:tbl>
    <w:p>
      <w:r>
        <w:t xml:space="preserve">Das Dokument wird an den Partner im Rahmen des FIXON-Partnerschaftsprogramms weitergeleitet. Der Partner kann dem Inhalt des Dokuments innerhalb von 7 Tagen nach seiner Lieferung widersprechen. Das Fehlen von Vorbehalten innerhalb dieser Frist bedeutet die Annahme eines Dokuments zur Information und Nutzung im Rahmen der laufenden Zusammenarbeit. Wenn der Partner Einwände erhebt, werden die Parteien den Inhalt des Dokuments klären, Unstimmigkeiten beseitigen oder die endgültige vereinbarte Fassung des Dokuments vorbereiten. Die endgültige Fassung des Dokuments, zu dem Vorbehalte geäußert wurden, wird von beiden Vertragsparteien in Form von persönlichen Unterschriften oder elektronischen Unterschriften genehmigt, die von den Vertragsparteien akzeptiert werden, sofern die Vertragsparteien im Schriftverkehr nichts anderes vereinbart haben.</w:t>
      </w:r>
    </w:p>
    <w:tbl>
      <w:tblPr>
        <w:tblW w:w="0" w:type="auto"/>
        <w:tblBorders>
          <w:top w:val="single" w:sz="4"/>
          <w:left w:val="single" w:sz="4"/>
          <w:bottom w:val="single" w:sz="4"/>
          <w:right w:val="single" w:sz="4"/>
          <w:insideH w:val="single" w:sz="4"/>
          <w:insideV w:val="single" w:sz="4"/>
        </w:tblBorders>
      </w:tblPr>
      <w:tr>
        <w:tc>
          <w:tcPr>
            <w:tcW w:w="2400" w:type="dxa"/>
          </w:tcPr>
          <w:p>
            <w:r>
              <w:t xml:space="preserve">Seite</w:t>
            </w:r>
          </w:p>
        </w:tc>
        <w:tc>
          <w:tcPr>
            <w:tcW w:w="2400" w:type="dxa"/>
          </w:tcPr>
          <w:p>
            <w:r>
              <w:t xml:space="preserve">Daten</w:t>
            </w:r>
          </w:p>
        </w:tc>
        <w:tc>
          <w:tcPr>
            <w:tcW w:w="2400" w:type="dxa"/>
          </w:tcPr>
          <w:p>
            <w:r>
              <w:t xml:space="preserve">Unterschrift</w:t>
            </w:r>
          </w:p>
        </w:tc>
      </w:tr>
      <w:tr>
        <w:tc>
          <w:tcPr>
            <w:tcW w:w="2400" w:type="dxa"/>
          </w:tcPr>
          <w:p>
            <w:r>
              <w:t xml:space="preserve">Lieferanten</w:t>
            </w:r>
          </w:p>
        </w:tc>
        <w:tc>
          <w:tcPr>
            <w:tcW w:w="2400" w:type="dxa"/>
          </w:tcPr>
          <w:p>
            <w:r>
              <w:t xml:space="preserve">FIXON IRYNA MUKOSIEN</w:t>
            </w:r>
          </w:p>
        </w:tc>
        <w:tc>
          <w:tcPr>
            <w:tcW w:w="2400" w:type="dxa"/>
          </w:tcPr>
          <w:p>
            <w:r>
              <w:t xml:space="preserve">Datum, Unterschrift / elektronische Signatur</w:t>
            </w:r>
          </w:p>
        </w:tc>
      </w:tr>
      <w:tr>
        <w:tc>
          <w:tcPr>
            <w:tcW w:w="2400" w:type="dxa"/>
          </w:tcPr>
          <w:p>
            <w:r>
              <w:t xml:space="preserve">Mediator</w:t>
            </w:r>
          </w:p>
        </w:tc>
        <w:tc>
          <w:tcPr>
            <w:tcW w:w="2400" w:type="dxa"/>
          </w:tcPr>
          <w:p>
            <w:r>
              <w:t xml:space="preserve">JHB FAMILY sp. z o.o.</w:t>
            </w:r>
          </w:p>
        </w:tc>
        <w:tc>
          <w:tcPr>
            <w:tcW w:w="2400" w:type="dxa"/>
          </w:tcPr>
          <w:p>
            <w:r>
              <w:t xml:space="preserve">Datum, Unterschrift / elektronische Signatur</w:t>
            </w:r>
          </w:p>
        </w:tc>
      </w:tr>
      <w:tr>
        <w:tc>
          <w:tcPr>
            <w:tcW w:w="2400" w:type="dxa"/>
          </w:tcPr>
          <w:p>
            <w:r>
              <w:t xml:space="preserve">Partner</w:t>
            </w:r>
          </w:p>
        </w:tc>
        <w:tc>
          <w:tcPr>
            <w:tcW w:w="2400" w:type="dxa"/>
          </w:tcPr>
          <w:p>
            <w:r>
              <w:t xml:space="preserve">[vollständiger Name des Partners]</w:t>
            </w:r>
          </w:p>
        </w:tc>
        <w:tc>
          <w:tcPr>
            <w:tcW w:w="2400" w:type="dxa"/>
          </w:tcPr>
          <w:p>
            <w:r>
              <w:t xml:space="preserve">Datum, Unterschrift / elektronische Signatur</w:t>
            </w:r>
          </w:p>
        </w:tc>
      </w:tr>
    </w:tbl>
    <w:p>
      <w:r>
        <w:t xml:space="preserve">Die DOCX-Vorlage wird für operative Arbeiten und PDF für den Versand oder die Archivierung verwendet.</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rFonts w:ascii="Arial" w:hAnsi="Arial"/>
      <w:sz w:val="22"/>
    </w:rPr>
  </w:style>
  <w:style w:type="paragraph" w:styleId="Heading1">
    <w:name w:val="heading 1"/>
    <w:basedOn w:val="Normal"/>
    <w:rPr>
      <w:b/>
      <w:color w:val="124A2E"/>
      <w:sz w:val="38"/>
    </w:rPr>
  </w:style>
  <w:style w:type="paragraph" w:styleId="Heading2">
    <w:name w:val="heading 2"/>
    <w:basedOn w:val="Normal"/>
    <w:rPr>
      <w:b/>
      <w:color w:val="06271B"/>
      <w:sz w:val="28"/>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