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Protokoll zu Lagerabweichungen</w:t>
      </w:r>
    </w:p>
    <w:p>
      <w:r>
        <w:t xml:space="preserve">Bericht über tatsächliche und dokumentarische Zustandsunterschiede.</w:t>
      </w:r>
    </w:p>
    <w:tbl>
      <w:tblPr>
        <w:tblW w:w="0" w:type="auto"/>
        <w:tblBorders>
          <w:top w:val="single" w:sz="4"/>
          <w:left w:val="single" w:sz="4"/>
          <w:bottom w:val="single" w:sz="4"/>
          <w:right w:val="single" w:sz="4"/>
          <w:insideH w:val="single" w:sz="4"/>
          <w:insideV w:val="single" w:sz="4"/>
        </w:tblBorders>
      </w:tblPr>
      <w:tr>
        <w:tc>
          <w:tcPr>
            <w:tcW w:w="2400" w:type="dxa"/>
          </w:tcPr>
          <w:p>
            <w:r>
              <w:t xml:space="preserve">Protokollnummer</w:t>
            </w:r>
          </w:p>
        </w:tc>
        <w:tc>
          <w:tcPr>
            <w:tcW w:w="2400" w:type="dxa"/>
          </w:tcPr>
          <w:p>
            <w:r>
              <w:t xml:space="preserve"/>
            </w:r>
          </w:p>
        </w:tc>
        <w:tc>
          <w:tcPr>
            <w:tcW w:w="2400" w:type="dxa"/>
          </w:tcPr>
          <w:p>
            <w:r>
              <w:t xml:space="preserve">Datum der Vorbereitung</w:t>
            </w:r>
          </w:p>
        </w:tc>
        <w:tc>
          <w:tcPr>
            <w:tcW w:w="2400" w:type="dxa"/>
          </w:tcPr>
          <w:p>
            <w:r>
              <w:t xml:space="preserve"/>
            </w:r>
          </w:p>
        </w:tc>
      </w:tr>
      <w:tr>
        <w:tc>
          <w:tcPr>
            <w:tcW w:w="2400" w:type="dxa"/>
          </w:tcPr>
          <w:p>
            <w:r>
              <w:t xml:space="preserve">Ort der Zubereitung</w:t>
            </w:r>
          </w:p>
        </w:tc>
        <w:tc>
          <w:tcPr>
            <w:tcW w:w="2400" w:type="dxa"/>
          </w:tcPr>
          <w:p>
            <w:r>
              <w:t xml:space="preserve"/>
            </w:r>
          </w:p>
        </w:tc>
        <w:tc>
          <w:tcPr>
            <w:tcW w:w="2400" w:type="dxa"/>
          </w:tcPr>
          <w:p>
            <w:r>
              <w:t xml:space="preserve">Zeitraum/Datum der Inspektion</w:t>
            </w:r>
          </w:p>
        </w:tc>
        <w:tc>
          <w:tcPr>
            <w:tcW w:w="2400" w:type="dxa"/>
          </w:tcPr>
          <w:p>
            <w:r>
              <w:t xml:space="preserve"/>
            </w:r>
          </w:p>
        </w:tc>
      </w:tr>
      <w:tr>
        <w:tc>
          <w:tcPr>
            <w:tcW w:w="2400" w:type="dxa"/>
          </w:tcPr>
          <w:p>
            <w:r>
              <w:t xml:space="preserve">Verwandtes Inventarprotokoll</w:t>
            </w:r>
          </w:p>
        </w:tc>
        <w:tc>
          <w:tcPr>
            <w:tcW w:w="2400" w:type="dxa"/>
          </w:tcPr>
          <w:p>
            <w:r>
              <w:t xml:space="preserve"/>
            </w:r>
          </w:p>
        </w:tc>
        <w:tc>
          <w:tcPr>
            <w:tcW w:w="2400" w:type="dxa"/>
          </w:tcPr>
          <w:p>
            <w:r>
              <w:t xml:space="preserve">Verwandter monatlicher Bericht</w:t>
            </w:r>
          </w:p>
        </w:tc>
        <w:tc>
          <w:tcPr>
            <w:tcW w:w="2400" w:type="dxa"/>
          </w:tcPr>
          <w:p>
            <w:r>
              <w:t xml:space="preserve"/>
            </w:r>
          </w:p>
        </w:tc>
      </w:tr>
      <w:tr>
        <w:tc>
          <w:tcPr>
            <w:tcW w:w="2400" w:type="dxa"/>
          </w:tcPr>
          <w:p>
            <w:r>
              <w:t xml:space="preserve">Partner</w:t>
            </w:r>
          </w:p>
        </w:tc>
        <w:tc>
          <w:tcPr>
            <w:tcW w:w="2400" w:type="dxa"/>
          </w:tcPr>
          <w:p>
            <w:r>
              <w:t xml:space="preserve"/>
            </w:r>
          </w:p>
        </w:tc>
        <w:tc>
          <w:tcPr>
            <w:tcW w:w="2400" w:type="dxa"/>
          </w:tcPr>
          <w:p>
            <w:r>
              <w:t xml:space="preserve">Standort</w:t>
            </w:r>
          </w:p>
        </w:tc>
        <w:tc>
          <w:tcPr>
            <w:tcW w:w="2400" w:type="dxa"/>
          </w:tcPr>
          <w:p>
            <w:r>
              <w:t xml:space="preserve"/>
            </w:r>
          </w:p>
        </w:tc>
      </w:tr>
      <w:tr>
        <w:tc>
          <w:tcPr>
            <w:tcW w:w="2400" w:type="dxa"/>
          </w:tcPr>
          <w:p>
            <w:r>
              <w:t xml:space="preserve">Meldende Person</w:t>
            </w:r>
          </w:p>
        </w:tc>
        <w:tc>
          <w:tcPr>
            <w:tcW w:w="2400" w:type="dxa"/>
          </w:tcPr>
          <w:p>
            <w:r>
              <w:t xml:space="preserve"/>
            </w:r>
          </w:p>
        </w:tc>
        <w:tc>
          <w:tcPr>
            <w:tcW w:w="2400" w:type="dxa"/>
          </w:tcPr>
          <w:p>
            <w:r>
              <w:t xml:space="preserve">Prüfperson</w:t>
            </w:r>
          </w:p>
        </w:tc>
        <w:tc>
          <w:tcPr>
            <w:tcW w:w="2400" w:type="dxa"/>
          </w:tcPr>
          <w:p>
            <w:r>
              <w:t xml:space="preserve"/>
            </w:r>
          </w:p>
        </w:tc>
      </w:tr>
    </w:tbl>
    <w:p>
      <w:r>
        <w:t xml:space="preserve">Das FIXON Warehouse Divergentity Protocol dient dazu, Unterschiede zwischen dem registrierten Staat, gemeldeten oder aus Transferdokumenten resultierenden Zustand und dem tatsächlich mit dem Partner identifizierten Zustand zu dokumentieren.</w:t>
      </w:r>
    </w:p>
    <w:p>
      <w:r>
        <w:t xml:space="preserve">Das Protokoll kann nach einer Bestandsaufnahme, einer regelmäßigen Kontrolle, einer Notifizierung, einem monatlichen Bericht, einer Rückgabe der Waren, einer Beendigung der Zusammenarbeit oder in jedem anderen Fall erstellt werden, in dem das Fehlen, der Überschuss, der Schaden, die Unvereinbarkeit des Wertes, die Nichtübereinstimmung mit dem Status des Erzeugnisses oder andere Unterschiede, die einer Klärung bedürfen, offengelegt wurden.</w:t>
      </w:r>
    </w:p>
    <w:p>
      <w:r>
        <w:t xml:space="preserve">Das Protokoll bestimmt nicht selbst die Schuld des Partners, sondern ist ein erklärendes und abrechnendes Dokument. Die endgültige Entscheidung darüber, wie Diskrepanzen beigelegt werden können, folgt auf die Überprüfung von Daten, Dokumenten, Fotos, Berichten und Erklärungen des Partners.</w:t>
      </w:r>
    </w:p>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Produktname/-element</w:t>
            </w:r>
          </w:p>
        </w:tc>
        <w:tc>
          <w:tcPr>
            <w:tcW w:w="2400" w:type="dxa"/>
          </w:tcPr>
          <w:p>
            <w:r>
              <w:t xml:space="preserve">SKU/Code</w:t>
            </w:r>
          </w:p>
        </w:tc>
        <w:tc>
          <w:tcPr>
            <w:tcW w:w="2400" w:type="dxa"/>
          </w:tcPr>
          <w:p>
            <w:r>
              <w:t xml:space="preserve">Produktstatus</w:t>
            </w:r>
          </w:p>
        </w:tc>
        <w:tc>
          <w:tcPr>
            <w:tcW w:w="2400" w:type="dxa"/>
          </w:tcPr>
          <w:p>
            <w:r>
              <w:t xml:space="preserve">Registrierung</w:t>
            </w:r>
          </w:p>
        </w:tc>
        <w:tc>
          <w:tcPr>
            <w:tcW w:w="2400" w:type="dxa"/>
          </w:tcPr>
          <w:p>
            <w:r>
              <w:t xml:space="preserve">Fakten</w:t>
            </w:r>
          </w:p>
        </w:tc>
        <w:tc>
          <w:tcPr>
            <w:tcW w:w="2400" w:type="dxa"/>
          </w:tcPr>
          <w:p>
            <w:r>
              <w:t xml:space="preserve">Differenz +/-</w:t>
            </w:r>
          </w:p>
        </w:tc>
        <w:tc>
          <w:tcPr>
            <w:tcW w:w="2400" w:type="dxa"/>
          </w:tcPr>
          <w:p>
            <w:r>
              <w:t xml:space="preserve">Bruttopreis</w:t>
            </w:r>
          </w:p>
        </w:tc>
        <w:tc>
          <w:tcPr>
            <w:tcW w:w="2400" w:type="dxa"/>
          </w:tcPr>
          <w:p>
            <w:r>
              <w:t xml:space="preserve">Differenzwert</w:t>
            </w:r>
          </w:p>
        </w:tc>
        <w:tc>
          <w:tcPr>
            <w:tcW w:w="2400" w:type="dxa"/>
          </w:tcPr>
          <w:p>
            <w:r>
              <w:t xml:space="preserve">Art der Diskrepanz</w:t>
            </w:r>
          </w:p>
        </w:tc>
        <w:tc>
          <w:tcPr>
            <w:tcW w:w="2400" w:type="dxa"/>
          </w:tcPr>
          <w:p>
            <w:r>
              <w:t xml:space="preserve">Bemerkungen</w:t>
            </w:r>
          </w:p>
        </w:tc>
      </w:tr>
      <w:tr>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Art der Diskrepanz</w:t>
            </w:r>
          </w:p>
        </w:tc>
        <w:tc>
          <w:tcPr>
            <w:tcW w:w="2400" w:type="dxa"/>
          </w:tcPr>
          <w:p>
            <w:r>
              <w:t xml:space="preserve">Beschreibung</w:t>
            </w:r>
          </w:p>
        </w:tc>
        <w:tc>
          <w:tcPr>
            <w:tcW w:w="2400" w:type="dxa"/>
          </w:tcPr>
          <w:p>
            <w:r>
              <w:t xml:space="preserve">Standardrichtung der Erläuterung</w:t>
            </w:r>
          </w:p>
        </w:tc>
      </w:tr>
      <w:tr>
        <w:tc>
          <w:tcPr>
            <w:tcW w:w="2400" w:type="dxa"/>
          </w:tcPr>
          <w:p>
            <w:r>
              <w:t xml:space="preserve">Keine Quantifizierung</w:t>
            </w:r>
          </w:p>
        </w:tc>
        <w:tc>
          <w:tcPr>
            <w:tcW w:w="2400" w:type="dxa"/>
          </w:tcPr>
          <w:p>
            <w:r>
              <w:t xml:space="preserve">Der tatsächliche Zustand ist niedriger als der Zustand, der sich aus Dokumenten oder Berichten ergibt.</w:t>
            </w:r>
          </w:p>
        </w:tc>
        <w:tc>
          <w:tcPr>
            <w:tcW w:w="2400" w:type="dxa"/>
          </w:tcPr>
          <w:p>
            <w:r>
              <w:t xml:space="preserve">Bestimmen Sie, ob das Produkt verkauft, falsch gemeldet, beschädigt, verloren oder bewegt wurde.</w:t>
            </w:r>
          </w:p>
        </w:tc>
      </w:tr>
      <w:tr>
        <w:tc>
          <w:tcPr>
            <w:tcW w:w="2400" w:type="dxa"/>
          </w:tcPr>
          <w:p>
            <w:r>
              <w:t xml:space="preserve">Überschussmenge</w:t>
            </w:r>
          </w:p>
        </w:tc>
        <w:tc>
          <w:tcPr>
            <w:tcW w:w="2400" w:type="dxa"/>
          </w:tcPr>
          <w:p>
            <w:r>
              <w:t xml:space="preserve">Der tatsächliche Zustand ist höher als der Zustand, der sich aus Dokumenten oder Berichten ergibt.</w:t>
            </w:r>
          </w:p>
        </w:tc>
        <w:tc>
          <w:tcPr>
            <w:tcW w:w="2400" w:type="dxa"/>
          </w:tcPr>
          <w:p>
            <w:r>
              <w:t xml:space="preserve">Ermittlung der Quelle des Überschusses, Meldefehler, Doppelemission oder nicht verbuchte Lieferung.</w:t>
            </w:r>
          </w:p>
        </w:tc>
      </w:tr>
      <w:tr>
        <w:tc>
          <w:tcPr>
            <w:tcW w:w="2400" w:type="dxa"/>
          </w:tcPr>
          <w:p>
            <w:r>
              <w:t xml:space="preserve">Wertabweichung</w:t>
            </w:r>
          </w:p>
        </w:tc>
        <w:tc>
          <w:tcPr>
            <w:tcW w:w="2400" w:type="dxa"/>
          </w:tcPr>
          <w:p>
            <w:r>
              <w:t xml:space="preserve">Die Menge kann vereinbar sein, aber Wert, Preis, Rabatt oder Lieferkosten sind mit der jeweiligen Preisliste oder dem jeweiligen Dokument unvereinbar.</w:t>
            </w:r>
          </w:p>
        </w:tc>
        <w:tc>
          <w:tcPr>
            <w:tcW w:w="2400" w:type="dxa"/>
          </w:tcPr>
          <w:p>
            <w:r>
              <w:t xml:space="preserve">Überprüfung von Preisliste, Rabatt, Produktstatus, Rechnung, Lieferkosten und Dauer des Dokuments.</w:t>
            </w:r>
          </w:p>
        </w:tc>
      </w:tr>
      <w:tr>
        <w:tc>
          <w:tcPr>
            <w:tcW w:w="2400" w:type="dxa"/>
          </w:tcPr>
          <w:p>
            <w:r>
              <w:t xml:space="preserve">Unterschiedlicher Status</w:t>
            </w:r>
          </w:p>
        </w:tc>
        <w:tc>
          <w:tcPr>
            <w:tcW w:w="2400" w:type="dxa"/>
          </w:tcPr>
          <w:p>
            <w:r>
              <w:t xml:space="preserve">Das Produkt wurde nicht nach seinem Status gekennzeichnet oder verwendet, z. B. Test, Ausstellung, Lager, Premiere oder vom Verkaufsergebnis ausgeschlossen.</w:t>
            </w:r>
          </w:p>
        </w:tc>
        <w:tc>
          <w:tcPr>
            <w:tcW w:w="2400" w:type="dxa"/>
          </w:tcPr>
          <w:p>
            <w:r>
              <w:t xml:space="preserve">Überprüfung des Produktstatusblatts, der Transferprotokolle und der Softwaredokumente.</w:t>
            </w:r>
          </w:p>
        </w:tc>
      </w:tr>
      <w:tr>
        <w:tc>
          <w:tcPr>
            <w:tcW w:w="2400" w:type="dxa"/>
          </w:tcPr>
          <w:p>
            <w:r>
              <w:t xml:space="preserve">Schäden/übernormativer Verschleiß</w:t>
            </w:r>
          </w:p>
        </w:tc>
        <w:tc>
          <w:tcPr>
            <w:tcW w:w="2400" w:type="dxa"/>
          </w:tcPr>
          <w:p>
            <w:r>
              <w:t xml:space="preserve">Das Produkt oder Expositionselement hat Schäden, die über den normalen Verschleiß hinausgehen.</w:t>
            </w:r>
          </w:p>
        </w:tc>
        <w:tc>
          <w:tcPr>
            <w:tcW w:w="2400" w:type="dxa"/>
          </w:tcPr>
          <w:p>
            <w:r>
              <w:t xml:space="preserve">Ermittlung der Ursache, der verantwortlichen Person und der Buchhaltungsmethode.</w:t>
            </w:r>
          </w:p>
        </w:tc>
      </w:tr>
      <w:tr>
        <w:tc>
          <w:tcPr>
            <w:tcW w:w="2400" w:type="dxa"/>
          </w:tcPr>
          <w:p>
            <w:r>
              <w:t xml:space="preserve">Keine Dokumentation</w:t>
            </w:r>
          </w:p>
        </w:tc>
        <w:tc>
          <w:tcPr>
            <w:tcW w:w="2400" w:type="dxa"/>
          </w:tcPr>
          <w:p>
            <w:r>
              <w:t xml:space="preserve">Kein Bericht, Foto, Protokoll, Verkaufsbestätigung, Freigabe, Rückgabe oder Beschwerde.</w:t>
            </w:r>
          </w:p>
        </w:tc>
        <w:tc>
          <w:tcPr>
            <w:tcW w:w="2400" w:type="dxa"/>
          </w:tcPr>
          <w:p>
            <w:r>
              <w:t xml:space="preserve">Dokumentation und Freigabeprüfung.</w:t>
            </w:r>
          </w:p>
        </w:tc>
      </w:tr>
    </w:tbl>
    <w:p>
      <w:r>
        <w:t xml:space="preserve">Der Partner kann jede Diskrepanz erklären, insbesondere den Verkauf, die Rückgabe, die Beschwerde, den Transfer zwischen den Niederlassungen, den Schaden, den Meldefehler, den Fehler bei der Annahme der Lieferung oder einen anderen Grund für den Unterschied.</w:t>
      </w:r>
    </w:p>
    <w:p>
      <w:r>
        <w:t xml:space="preserve">Die Erläuterungen sollten in Form von Unterlagen zusammen mit Belegen, soweit verfügbar, vorgelegt werden. Den Erklärungen können Fotos, Verkaufsaufzeichnungen, Kassenberichte, Freigabedokumente, Kundenkorrespondenz, Beschwerdedokumente oder andere Beweise beigefügt werden.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Beschreibung der Erklärungen des Partners</w:t>
            </w:r>
          </w:p>
        </w:tc>
        <w:tc>
          <w:tcPr>
            <w:tcW w:w="2400" w:type="dxa"/>
          </w:tcPr>
          <w:p>
            <w:r>
              <w:t xml:space="preserve"/>
            </w:r>
          </w:p>
        </w:tc>
      </w:tr>
      <w:tr>
        <w:tc>
          <w:tcPr>
            <w:tcW w:w="2400" w:type="dxa"/>
          </w:tcPr>
          <w:p>
            <w:r>
              <w:t xml:space="preserve">Vom Partner bereitgestellte Dokumente / Anlagen</w:t>
            </w:r>
          </w:p>
        </w:tc>
        <w:tc>
          <w:tcPr>
            <w:tcW w:w="2400" w:type="dxa"/>
          </w:tcPr>
          <w:p>
            <w:r>
              <w:t xml:space="preserve"/>
            </w:r>
          </w:p>
        </w:tc>
      </w:tr>
      <w:tr>
        <w:tc>
          <w:tcPr>
            <w:tcW w:w="2400" w:type="dxa"/>
          </w:tcPr>
          <w:p>
            <w:r>
              <w:t xml:space="preserve">Position Lieferant/Mediator</w:t>
            </w:r>
          </w:p>
        </w:tc>
        <w:tc>
          <w:tcPr>
            <w:tcW w:w="2400" w:type="dxa"/>
          </w:tcPr>
          <w:p>
            <w:r>
              <w:t xml:space="preserve"/>
            </w:r>
          </w:p>
        </w:tc>
      </w:tr>
      <w:tr>
        <w:tc>
          <w:tcPr>
            <w:tcW w:w="2400" w:type="dxa"/>
          </w:tcPr>
          <w:p>
            <w:r>
              <w:t xml:space="preserve">Endgültige Feststellungen</w:t>
            </w:r>
          </w:p>
        </w:tc>
        <w:tc>
          <w:tcPr>
            <w:tcW w:w="2400" w:type="dxa"/>
          </w:tcPr>
          <w:p>
            <w:r>
              <w:t xml:space="preserve"/>
            </w:r>
          </w:p>
        </w:tc>
      </w:tr>
    </w:tbl>
    <w:p>
      <w:r>
        <w:t xml:space="preserve">Nach Überprüfung von Abweichungen hat der Lieferant oder der im Einvernehmen mit dem Lieferanten handelnde Mediator die Art der Abrechnung anzugeben. Die Entscheidung kann insbesondere eine Berichtigung des Berichts, eine Berichtigung des Lagerbestands, die Anerkennung von Verkäufen, die Anerkennung der Rückgabe, die Anerkennung von Reklamationen, die Ausstellung einer Rechnung, die Berichtigung der Rechnung, die Verpflichtung zur Rückgabe des Produkts, das Ausfüllen von Dokumenten oder die Rücknahme des Vergleichs umfassen, wenn der Unterschied geklärt wurde.</w:t>
      </w:r>
    </w:p>
    <w:tbl>
      <w:tblPr>
        <w:tblW w:w="0" w:type="auto"/>
        <w:tblBorders>
          <w:top w:val="single" w:sz="4"/>
          <w:left w:val="single" w:sz="4"/>
          <w:bottom w:val="single" w:sz="4"/>
          <w:right w:val="single" w:sz="4"/>
          <w:insideH w:val="single" w:sz="4"/>
          <w:insideV w:val="single" w:sz="4"/>
        </w:tblBorders>
      </w:tblPr>
      <w:tr>
        <w:tc>
          <w:tcPr>
            <w:tcW w:w="2400" w:type="dxa"/>
          </w:tcPr>
          <w:p>
            <w:r>
              <w:t xml:space="preserve">Beschluss</w:t>
            </w:r>
          </w:p>
        </w:tc>
        <w:tc>
          <w:tcPr>
            <w:tcW w:w="2400" w:type="dxa"/>
          </w:tcPr>
          <w:p>
            <w:r>
              <w:t xml:space="preserve">JA/NEIN</w:t>
            </w:r>
          </w:p>
        </w:tc>
        <w:tc>
          <w:tcPr>
            <w:tcW w:w="2400" w:type="dxa"/>
          </w:tcPr>
          <w:p>
            <w:r>
              <w:t xml:space="preserve">Wert/Menge</w:t>
            </w:r>
          </w:p>
        </w:tc>
        <w:tc>
          <w:tcPr>
            <w:tcW w:w="2400" w:type="dxa"/>
          </w:tcPr>
          <w:p>
            <w:r>
              <w:t xml:space="preserve">Bemerkungen</w:t>
            </w:r>
          </w:p>
        </w:tc>
      </w:tr>
      <w:tr>
        <w:tc>
          <w:tcPr>
            <w:tcW w:w="2400" w:type="dxa"/>
          </w:tcPr>
          <w:p>
            <w:r>
              <w:t xml:space="preserve">Berichtigung des Berichts/Zustands</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Rechnung/Verrechnungsschein</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Produktrückgabe / Quittung</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Keine weiteren Maßnahmen</w:t>
            </w:r>
          </w:p>
        </w:tc>
        <w:tc>
          <w:tcPr>
            <w:tcW w:w="2400" w:type="dxa"/>
          </w:tcPr>
          <w:p>
            <w:r>
              <w:t xml:space="preserve"/>
            </w:r>
          </w:p>
        </w:tc>
        <w:tc>
          <w:tcPr>
            <w:tcW w:w="2400" w:type="dxa"/>
          </w:tcPr>
          <w:p>
            <w:r>
              <w:t xml:space="preserve"/>
            </w:r>
          </w:p>
        </w:tc>
        <w:tc>
          <w:tcPr>
            <w:tcW w:w="2400" w:type="dxa"/>
          </w:tcPr>
          <w:p>
            <w:r>
              <w:t xml:space="preserve"/>
            </w:r>
          </w:p>
        </w:tc>
      </w:tr>
    </w:tbl>
    <w:p>
      <w:r>
        <w:t xml:space="preserve">Der Partner bestätigt, dass er den Inhalt dieses Protokolls zur Kenntnis genommen hat und dass die darin angegebenen Daten die Grundlage für eine weitere Überprüfung und mögliche Beilegung von Diskrepanzen gemäß dem FIXON-Partnerschaftsprogramm und den damit verbundenen Dokumenten bilden.</w:t>
      </w:r>
    </w:p>
    <w:p>
      <w:r>
        <w:t xml:space="preserve">Wenn der Partner mit dem gesamten oder einem Teil des Protokolls nicht einverstanden ist, sollte er an einer Stelle, die für Kommentare reserviert ist, Vorbehalte äußern oder sie dem in der Reservierungsklausel festgelegten Verfahren unterwerfen.</w:t>
      </w:r>
    </w:p>
    <w:p>
      <w:r>
        <w:t xml:space="preserve">Reservierungen zu diesem Dokument können innerhalb von 7 Tagen nach seiner Lieferung mitgeteilt werden. Das Fehlen von Vorbehalten innerhalb dieser Frist bedeutet die Annahme eines Dokuments zur Information und Nutzung im Rahmen der laufenden Zusammenarbeit im Rahmen des FIXON-Partnerschaftsprogramms. Im Falle einer Mitteilung der Beschwerdepunkte wird das Dokument nicht angenommen, ohne dass Einwände gegen den von der Erklärung abgedeckten Geltungsbereich erhoben werden, und die endgültige vereinbarte Fassung wird von beiden Vertragsparteien in Form von persönlichen Unterschriften oder elektronischen Unterschriften, die von den Vertragsparteien akzeptiert werden, genehmigt, sofern die Vertragsparteien im Schriftverkehr nichts anderes vereinbart haben.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 / FIXON</w:t>
            </w:r>
          </w:p>
        </w:tc>
        <w:tc>
          <w:tcPr>
            <w:tcW w:w="2400" w:type="dxa"/>
          </w:tcPr>
          <w:p>
            <w:r>
              <w:t xml:space="preserve">Partner</w:t>
            </w:r>
          </w:p>
        </w:tc>
        <w:tc>
          <w:tcPr>
            <w:tcW w:w="2400" w:type="dxa"/>
          </w:tcPr>
          <w:p>
            <w:r>
              <w:t xml:space="preserve">Mediator</w:t>
            </w:r>
          </w:p>
        </w:tc>
      </w:tr>
      <w:tr>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
            </w:r>
          </w:p>
        </w:tc>
        <w:tc>
          <w:tcPr>
            <w:tcW w:w="2400" w:type="dxa"/>
          </w:tcPr>
          <w:p>
            <w:r>
              <w:t xml:space="preserve"/>
            </w:r>
          </w:p>
        </w:tc>
        <w:tc>
          <w:tcPr>
            <w:tcW w:w="2400" w:type="dxa"/>
          </w:tcPr>
          <w:p>
            <w:r>
              <w:t xml:space="preserve"/>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