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Anlage: Präsentationsstandards</w:t>
      </w:r>
    </w:p>
    <w:p>
      <w:r>
        <w:t xml:space="preserve">FIXON-Produktexpositionsregeln am Point of Sale und im Partnerkanal.</w:t>
      </w:r>
    </w:p>
    <w:p>
      <w:r>
        <w:t xml:space="preserve">Das Dokument enthält die Mindestregeln für die Präsentation von Produkten, Testwerkzeugen, Marketingmaterialien, Indikationen und Informationselementen von FIXON mit dem Partner im Rahmen des FIXON-Partnerprogramms.</w:t>
      </w:r>
    </w:p>
    <w:tbl>
      <w:tblPr>
        <w:tblW w:w="0" w:type="auto"/>
        <w:tblBorders>
          <w:top w:val="single" w:sz="4"/>
          <w:left w:val="single" w:sz="4"/>
          <w:bottom w:val="single" w:sz="4"/>
          <w:right w:val="single" w:sz="4"/>
          <w:insideH w:val="single" w:sz="4"/>
          <w:insideV w:val="single" w:sz="4"/>
        </w:tblBorders>
      </w:tblPr>
      <w:tr>
        <w:tc>
          <w:tcPr>
            <w:tcW w:w="2400" w:type="dxa"/>
          </w:tcPr>
          <w:p>
            <w:r>
              <w:t xml:space="preserve">Partner</w:t>
            </w:r>
          </w:p>
        </w:tc>
        <w:tc>
          <w:tcPr>
            <w:tcW w:w="2400" w:type="dxa"/>
          </w:tcPr>
          <w:p>
            <w:r>
              <w:t xml:space="preserve">........................................................</w:t>
            </w:r>
          </w:p>
        </w:tc>
      </w:tr>
      <w:tr>
        <w:tc>
          <w:tcPr>
            <w:tcW w:w="2400" w:type="dxa"/>
          </w:tcPr>
          <w:p>
            <w:r>
              <w:t xml:space="preserve">Ort/Ort der Exposition</w:t>
            </w:r>
          </w:p>
        </w:tc>
        <w:tc>
          <w:tcPr>
            <w:tcW w:w="2400" w:type="dxa"/>
          </w:tcPr>
          <w:p>
            <w:r>
              <w:t xml:space="preserve">........................................................</w:t>
            </w:r>
          </w:p>
        </w:tc>
      </w:tr>
      <w:tr>
        <w:tc>
          <w:tcPr>
            <w:tcW w:w="2400" w:type="dxa"/>
          </w:tcPr>
          <w:p>
            <w:r>
              <w:t xml:space="preserve">Datum der Übermittlung/Aktualisierung von Normen</w:t>
            </w:r>
          </w:p>
        </w:tc>
        <w:tc>
          <w:tcPr>
            <w:tcW w:w="2400" w:type="dxa"/>
          </w:tcPr>
          <w:p>
            <w:r>
              <w:t xml:space="preserve">........................................................</w:t>
            </w:r>
          </w:p>
        </w:tc>
      </w:tr>
      <w:tr>
        <w:tc>
          <w:tcPr>
            <w:tcW w:w="2400" w:type="dxa"/>
          </w:tcPr>
          <w:p>
            <w:r>
              <w:t xml:space="preserve">Dokumentversion</w:t>
            </w:r>
          </w:p>
        </w:tc>
        <w:tc>
          <w:tcPr>
            <w:tcW w:w="2400" w:type="dxa"/>
          </w:tcPr>
          <w:p>
            <w:r>
              <w:t xml:space="preserve">........................................................</w:t>
            </w:r>
          </w:p>
        </w:tc>
      </w:tr>
      <w:tr>
        <w:tc>
          <w:tcPr>
            <w:tcW w:w="2400" w:type="dxa"/>
          </w:tcPr>
          <w:p>
            <w:r>
              <w:t xml:space="preserve">Partnerkontakt</w:t>
            </w:r>
          </w:p>
        </w:tc>
        <w:tc>
          <w:tcPr>
            <w:tcW w:w="2400" w:type="dxa"/>
          </w:tcPr>
          <w:p>
            <w:r>
              <w:t xml:space="preserve">........................................................</w:t>
            </w:r>
          </w:p>
        </w:tc>
      </w:tr>
    </w:tbl>
    <w:p>
      <w:r>
        <w:t xml:space="preserve">Die FIXON-Ausstellung soll es dem Partner ermöglichen, Produkte Endkunden, Auftragnehmern, Händlern, Boulevard- und Bauteams sowie Entscheidungsträgern, die für den Einkauf von Werkzeugen verantwortlich sind, aktiv zu präsentieren.</w:t>
      </w:r>
    </w:p>
    <w:p>
      <w:r>
        <w:t xml:space="preserve">Der Zweck der Exposition ist es, die praktische Verwendung von Produkten zu zeigen, den Verkaufsprozess zu verkürzen, die Demonstration der Werkzeugbedienung zu erleichtern und den Kunden zum richtigen Produkt, E-Katalog, Auftrag oder FIXON-Demonstrationszentrum zu führen.</w:t>
      </w:r>
    </w:p>
    <w:p>
      <w:r>
        <w:t xml:space="preserve">Exposition ist nicht nur ein dekoratives Element. Sie sollte so beibehalten werden, dass ein echter Verkauf, eine Demonstration und die Sammlung von Rückmeldungen vom Markt möglich sind.</w:t>
      </w:r>
    </w:p>
    <w:tbl>
      <w:tblPr>
        <w:tblW w:w="0" w:type="auto"/>
        <w:tblBorders>
          <w:top w:val="single" w:sz="4"/>
          <w:left w:val="single" w:sz="4"/>
          <w:bottom w:val="single" w:sz="4"/>
          <w:right w:val="single" w:sz="4"/>
          <w:insideH w:val="single" w:sz="4"/>
          <w:insideV w:val="single" w:sz="4"/>
        </w:tblBorders>
      </w:tblPr>
      <w:tr>
        <w:tc>
          <w:tcPr>
            <w:tcW w:w="2400" w:type="dxa"/>
          </w:tcPr>
          <w:p>
            <w:r>
              <w:t xml:space="preserve">Element</w:t>
            </w:r>
          </w:p>
        </w:tc>
        <w:tc>
          <w:tcPr>
            <w:tcW w:w="2400" w:type="dxa"/>
          </w:tcPr>
          <w:p>
            <w:r>
              <w:t xml:space="preserve">Standard vorgeschrieben</w:t>
            </w:r>
          </w:p>
        </w:tc>
        <w:tc>
          <w:tcPr>
            <w:tcW w:w="2400" w:type="dxa"/>
          </w:tcPr>
          <w:p>
            <w:r>
              <w:t xml:space="preserve">Status/Bemerkungen</w:t>
            </w:r>
          </w:p>
        </w:tc>
        <w:tc>
          <w:tcPr>
            <w:tcW w:w="2400" w:type="dxa"/>
          </w:tcPr>
          <w:p>
            <w:r>
              <w:t xml:space="preserve">Verantwortlich</w:t>
            </w:r>
          </w:p>
        </w:tc>
      </w:tr>
      <w:tr>
        <w:tc>
          <w:tcPr>
            <w:tcW w:w="2400" w:type="dxa"/>
          </w:tcPr>
          <w:p>
            <w:r>
              <w:t xml:space="preserve">Physische Produkte</w:t>
            </w:r>
          </w:p>
        </w:tc>
        <w:tc>
          <w:tcPr>
            <w:tcW w:w="2400" w:type="dxa"/>
          </w:tcPr>
          <w:p>
            <w:r>
              <w:t xml:space="preserve">Ausgewählte Produkte gemäß Partnerkarte, Preisliste, Produktstatus oder Transferprotokoll.</w:t>
            </w:r>
          </w:p>
        </w:tc>
        <w:tc>
          <w:tcPr>
            <w:tcW w:w="2400" w:type="dxa"/>
          </w:tcPr>
          <w:p>
            <w:r>
              <w:t xml:space="preserve">................................</w:t>
            </w:r>
          </w:p>
        </w:tc>
        <w:tc>
          <w:tcPr>
            <w:tcW w:w="2400" w:type="dxa"/>
          </w:tcPr>
          <w:p>
            <w:r>
              <w:t xml:space="preserve">Partner</w:t>
            </w:r>
          </w:p>
        </w:tc>
      </w:tr>
      <w:tr>
        <w:tc>
          <w:tcPr>
            <w:tcW w:w="2400" w:type="dxa"/>
          </w:tcPr>
          <w:p>
            <w:r>
              <w:t xml:space="preserve">Prüfwerkzeug</w:t>
            </w:r>
          </w:p>
        </w:tc>
        <w:tc>
          <w:tcPr>
            <w:tcW w:w="2400" w:type="dxa"/>
          </w:tcPr>
          <w:p>
            <w:r>
              <w:t xml:space="preserve">Gespeichert in einem Zustand, der Demonstration ermöglicht; normale Abnutzung akzeptabel.</w:t>
            </w:r>
          </w:p>
        </w:tc>
        <w:tc>
          <w:tcPr>
            <w:tcW w:w="2400" w:type="dxa"/>
          </w:tcPr>
          <w:p>
            <w:r>
              <w:t xml:space="preserve">................................</w:t>
            </w:r>
          </w:p>
        </w:tc>
        <w:tc>
          <w:tcPr>
            <w:tcW w:w="2400" w:type="dxa"/>
          </w:tcPr>
          <w:p>
            <w:r>
              <w:t xml:space="preserve">Partner</w:t>
            </w:r>
          </w:p>
        </w:tc>
      </w:tr>
      <w:tr>
        <w:tc>
          <w:tcPr>
            <w:tcW w:w="2400" w:type="dxa"/>
          </w:tcPr>
          <w:p>
            <w:r>
              <w:t xml:space="preserve">Bedruckte Materialien</w:t>
            </w:r>
          </w:p>
        </w:tc>
        <w:tc>
          <w:tcPr>
            <w:tcW w:w="2400" w:type="dxa"/>
          </w:tcPr>
          <w:p>
            <w:r>
              <w:t xml:space="preserve">Kataloge, Produktkarten, Faltblätter oder andere Materialien, die von FIXON geliefert werden.</w:t>
            </w:r>
          </w:p>
        </w:tc>
        <w:tc>
          <w:tcPr>
            <w:tcW w:w="2400" w:type="dxa"/>
          </w:tcPr>
          <w:p>
            <w:r>
              <w:t xml:space="preserve">................................</w:t>
            </w:r>
          </w:p>
        </w:tc>
        <w:tc>
          <w:tcPr>
            <w:tcW w:w="2400" w:type="dxa"/>
          </w:tcPr>
          <w:p>
            <w:r>
              <w:t xml:space="preserve">Partner</w:t>
            </w:r>
          </w:p>
        </w:tc>
      </w:tr>
      <w:tr>
        <w:tc>
          <w:tcPr>
            <w:tcW w:w="2400" w:type="dxa"/>
          </w:tcPr>
          <w:p>
            <w:r>
              <w:t xml:space="preserve">Kennzeichnungen</w:t>
            </w:r>
          </w:p>
        </w:tc>
        <w:tc>
          <w:tcPr>
            <w:tcW w:w="2400" w:type="dxa"/>
          </w:tcPr>
          <w:p>
            <w:r>
              <w:t xml:space="preserve">Logo, Aufkleber, Plaketten, Banner oder Rollen gemäß FIXON Markenrichtlinie.</w:t>
            </w:r>
          </w:p>
        </w:tc>
        <w:tc>
          <w:tcPr>
            <w:tcW w:w="2400" w:type="dxa"/>
          </w:tcPr>
          <w:p>
            <w:r>
              <w:t xml:space="preserve">................................</w:t>
            </w:r>
          </w:p>
        </w:tc>
        <w:tc>
          <w:tcPr>
            <w:tcW w:w="2400" w:type="dxa"/>
          </w:tcPr>
          <w:p>
            <w:r>
              <w:t xml:space="preserve">Partner</w:t>
            </w:r>
          </w:p>
        </w:tc>
      </w:tr>
      <w:tr>
        <w:tc>
          <w:tcPr>
            <w:tcW w:w="2400" w:type="dxa"/>
          </w:tcPr>
          <w:p>
            <w:r>
              <w:t xml:space="preserve">QR / e-Katalog</w:t>
            </w:r>
          </w:p>
        </w:tc>
        <w:tc>
          <w:tcPr>
            <w:tcW w:w="2400" w:type="dxa"/>
          </w:tcPr>
          <w:p>
            <w:r>
              <w:t xml:space="preserve">QR-Code oder Link zum E-Katalog bei Exposition sichtbar oder für Händler verfügbar.</w:t>
            </w:r>
          </w:p>
        </w:tc>
        <w:tc>
          <w:tcPr>
            <w:tcW w:w="2400" w:type="dxa"/>
          </w:tcPr>
          <w:p>
            <w:r>
              <w:t xml:space="preserve">................................</w:t>
            </w:r>
          </w:p>
        </w:tc>
        <w:tc>
          <w:tcPr>
            <w:tcW w:w="2400" w:type="dxa"/>
          </w:tcPr>
          <w:p>
            <w:r>
              <w:t xml:space="preserve">Partner</w:t>
            </w:r>
          </w:p>
        </w:tc>
      </w:tr>
      <w:tr>
        <w:tc>
          <w:tcPr>
            <w:tcW w:w="2400" w:type="dxa"/>
          </w:tcPr>
          <w:p>
            <w:r>
              <w:t xml:space="preserve">Handelsbezogene Informationen</w:t>
            </w:r>
          </w:p>
        </w:tc>
        <w:tc>
          <w:tcPr>
            <w:tcW w:w="2400" w:type="dxa"/>
          </w:tcPr>
          <w:p>
            <w:r>
              <w:t xml:space="preserve">Aktuelle Informationen zu Preisen, Verfügbarkeit, Lieferung und Lieferterminen.</w:t>
            </w:r>
          </w:p>
        </w:tc>
        <w:tc>
          <w:tcPr>
            <w:tcW w:w="2400" w:type="dxa"/>
          </w:tcPr>
          <w:p>
            <w:r>
              <w:t xml:space="preserve">................................</w:t>
            </w:r>
          </w:p>
        </w:tc>
        <w:tc>
          <w:tcPr>
            <w:tcW w:w="2400" w:type="dxa"/>
          </w:tcPr>
          <w:p>
            <w:r>
              <w:t xml:space="preserve">Partner/Mediator</w:t>
            </w:r>
          </w:p>
        </w:tc>
      </w:tr>
    </w:tbl>
    <w:p>
      <w:r>
        <w:t xml:space="preserve">FIXON-Produkte sollten an einer für Kunden, Händler oder Handelsvertreter sichtbaren Stelle präsentiert werden, mit der Möglichkeit, die Bedienung des Werkzeugs schnell anzuzeigen oder den Kunden auf das entsprechende Informationsmaterial zu verweisen.</w:t>
      </w:r>
    </w:p>
    <w:p>
      <w:r>
        <w:t xml:space="preserve">Expositions-, Demonstrations- und Testprodukte sollten sauber, geordnet und sicher für die Anwender aufbewahrt werden. Normale Abnutzung durch Präsentationen, Tests und Demonstrationen ist akzeptabel.</w:t>
      </w:r>
    </w:p>
    <w:p>
      <w:r>
        <w:t xml:space="preserve">Der Partner sollte FIXON-Kennzeichnungen nicht so mit Kennzeichnungen anderer Marken vermischen, dass der Kunde über den Hersteller, die Herkunft des Produkts, den Umfang der Garantie oder die Verkaufsbedingungen irregeführt wird.</w:t>
      </w:r>
    </w:p>
    <w:p>
      <w:r>
        <w:t xml:space="preserve">Marketingmaterialien und Kennzeichnungen, die dem Partner zur Verfügung gestellt werden, sind weiterhin für die Präsentation von FIXON-Produkten bestimmt und können nicht zur Bewerbung von Konkurrenzprodukten oder zur Kommunikation gegen die FIXON-Markenrichtlinie verwendet werden.</w:t>
      </w:r>
    </w:p>
    <w:p>
      <w:r>
        <w:t xml:space="preserve">Die Aktualität der Informationen über Preise, Verfügbarkeit und Liefertermine sollte vom Partner anhand der aktuellen Katalogpreisliste, des Produktstatus, des E-Katalogs oder der vom Mediator oder Lieferanten bereitgestellten Informationen überprüft werden.</w:t>
      </w:r>
    </w:p>
    <w:p>
      <w:r>
        <w:t xml:space="preserve">Der Partner kann eigene Fotos, Filme, Grafiken, Beschreibungen, Posts, kommerzielle Angebote oder anderes Werbematerial für FIXON-Produkte erstellen, sofern diese der FIXON-Markenrichtlinie entsprechen, nicht irreführen und den Markenwert nicht verletzen.</w:t>
      </w:r>
    </w:p>
    <w:p>
      <w:r>
        <w:t xml:space="preserve">Die eigenen Materialien des Partners erfordern die Annahme des Lieferanten oder Mediators, wenn sie Vergleiche mit dem Wettbewerb, technische Erklärungen, spezifische kommerzielle Versprechen, die Verwendung des eigenen Logos oder Mitteilungen enthalten, die die Art und Weise beeinflussen können, wie die Marke FIXON wahrgenommen wird.</w:t>
      </w:r>
    </w:p>
    <w:p>
      <w:r>
        <w:t xml:space="preserve">Sobald akzeptiertes Material oder Kampagne kann ohne separate Annahme wiederverwendet werden, wenn ihr Inhalt, Bedeutung, Grafiken, Handelsbedingungen und Publikationskontext nicht wesentlich geändert wurden.</w:t>
      </w:r>
    </w:p>
    <w:p>
      <w:r>
        <w:t xml:space="preserve">Der Lieferant oder Mediator kann den Partner auffordern, Bilder der Exposition zu senden, das Vorhandensein der Materialien zu bestätigen, die Markierungen zu aktualisieren, die QR-Codes zu ergänzen, veraltete Informationen zu löschen oder die Präsentation der Produkte zu ändern.</w:t>
      </w:r>
    </w:p>
    <w:p>
      <w:r>
        <w:t xml:space="preserve">Die Überprüfung der Exposition sollte in übermäßiger Weise erfolgen, um die Kohärenz des Verkaufs, der Nachrichten und des Schutzes der Marke FIXON zu wahren.</w:t>
      </w:r>
    </w:p>
    <w:p>
      <w:r>
        <w:t xml:space="preserve">Wenn erhebliche Unregelmäßigkeiten festgestellt werden, sollte der Partner sie innerhalb der vom Lieferanten oder dem Mediator angegebenen Frist unter Berücksichtigung der Art der Unregelmäßigkeiten und der organisatorischen Fähigkeiten der Einrichtung entfernen.</w:t>
      </w:r>
    </w:p>
    <w:p>
      <w:r>
        <w:t xml:space="preserve">Der Partner kann diesem Dokument innerhalb von 7 Tagen nach seiner Lieferung widersprechen. Das Fehlen von Vorbehalten innerhalb dieser Frist bedeutet die Annahme eines Dokuments zur Information und Nutzung im Rahmen der laufenden Zusammenarbeit im Rahmen des FIXON-Partnerschaftsprogramms. Wenn der Partner Einwände erhebt, werden die Parteien den Inhalt des Dokuments klären, Unstimmigkeiten beseitigen oder die endgültige vereinbarte Fassung des Dokuments vorbereiten. Die endgültige Fassung des Dokuments, zu dem Vorbehalte geäußert wurden, wird von beiden Vertragsparteien in Form von persönlichen Unterschriften oder elektronischen Unterschriften genehmigt, die von den Vertragsparteien akzeptiert werden, sofern die Vertragsparteien im Schriftverkehr nichts anderes vereinbart haben.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Lieferant/Mediator</w:t>
            </w:r>
          </w:p>
        </w:tc>
        <w:tc>
          <w:tcPr>
            <w:tcW w:w="2400" w:type="dxa"/>
          </w:tcPr>
          <w:p>
            <w:r>
              <w:t xml:space="preserve">Partner</w:t>
            </w:r>
          </w:p>
        </w:tc>
        <w:tc>
          <w:tcPr>
            <w:tcW w:w="2400" w:type="dxa"/>
          </w:tcPr>
          <w:p>
            <w:r>
              <w:t xml:space="preserve">Datum</w:t>
            </w:r>
          </w:p>
        </w:tc>
      </w:tr>
      <w:tr>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w:t>
            </w:r>
          </w:p>
        </w:tc>
        <w:tc>
          <w:tcPr>
            <w:tcW w:w="2400" w:type="dxa"/>
          </w:tcPr>
          <w:p>
            <w:r>
              <w:t xml:space="preserve">................................</w:t>
            </w:r>
          </w:p>
        </w:tc>
        <w:tc>
          <w:tcPr>
            <w:tcW w:w="2400" w:type="dxa"/>
          </w:tcPr>
          <w:p>
            <w:r>
              <w:t xml:space="preserve">................................</w:t>
            </w:r>
          </w:p>
        </w:tc>
      </w:tr>
    </w:tbl>
    <w:p>
      <w:r>
        <w:t xml:space="preserve">Die DOCX-Vorlage wird für operative Arbeiten und PDF für den Versand oder die Archivierung verwendet.</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