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Appendix: Reporting Procedure</w:t>
      </w:r>
    </w:p>
    <w:p>
      <w:r>
        <w:t xml:space="preserve">Model of reporting sales, states and activity within the framework of cooperation.</w:t>
      </w:r>
    </w:p>
    <w:p>
      <w:r>
        <w:t xml:space="preserve">A program document specifying the rules for reporting sales reports, stocks, discrepancies, alert thresholds and events related to FIXON products.</w:t>
      </w:r>
    </w:p>
    <w:tbl>
      <w:tblPr>
        <w:tblW w:w="0" w:type="auto"/>
        <w:tblBorders>
          <w:top w:val="single" w:sz="4"/>
          <w:left w:val="single" w:sz="4"/>
          <w:bottom w:val="single" w:sz="4"/>
          <w:right w:val="single" w:sz="4"/>
          <w:insideH w:val="single" w:sz="4"/>
          <w:insideV w:val="single" w:sz="4"/>
        </w:tblBorders>
      </w:tblPr>
      <w:tr>
        <w:tc>
          <w:tcPr>
            <w:tcW w:w="2400" w:type="dxa"/>
          </w:tcPr>
          <w:p>
            <w:r>
              <w:t xml:space="preserve">Document No</w:t>
            </w:r>
          </w:p>
        </w:tc>
        <w:tc>
          <w:tcPr>
            <w:tcW w:w="2400" w:type="dxa"/>
          </w:tcPr>
          <w:p>
            <w:r>
              <w:t xml:space="preserve">PR/FIXON/</w:t>
            </w:r>
          </w:p>
        </w:tc>
      </w:tr>
      <w:tr>
        <w:tc>
          <w:tcPr>
            <w:tcW w:w="2400" w:type="dxa"/>
          </w:tcPr>
          <w:p>
            <w:r>
              <w:t xml:space="preserve">Date of issue</w:t>
            </w:r>
          </w:p>
        </w:tc>
        <w:tc>
          <w:tcPr>
            <w:tcW w:w="2400" w:type="dxa"/>
          </w:tcPr>
          <w:p>
            <w:r>
              <w:t xml:space="preserve">____ / ____ / ______</w:t>
            </w:r>
          </w:p>
        </w:tc>
      </w:tr>
      <w:tr>
        <w:tc>
          <w:tcPr>
            <w:tcW w:w="2400" w:type="dxa"/>
          </w:tcPr>
          <w:p>
            <w:r>
              <w:t xml:space="preserve">Version</w:t>
            </w:r>
          </w:p>
        </w:tc>
        <w:tc>
          <w:tcPr>
            <w:tcW w:w="2400" w:type="dxa"/>
          </w:tcPr>
          <w:p>
            <w:r>
              <w:t xml:space="preserve">____</w:t>
            </w:r>
          </w:p>
        </w:tc>
      </w:tr>
      <w:tr>
        <w:tc>
          <w:tcPr>
            <w:tcW w:w="2400" w:type="dxa"/>
          </w:tcPr>
          <w:p>
            <w:r>
              <w:t xml:space="preserve">Partner</w:t>
            </w:r>
          </w:p>
        </w:tc>
        <w:tc>
          <w:tcPr>
            <w:tcW w:w="2400" w:type="dxa"/>
          </w:tcPr>
          <w:p>
            <w:r>
              <w:t xml:space="preserve">____________________________</w:t>
            </w:r>
          </w:p>
        </w:tc>
      </w:tr>
      <w:tr>
        <w:tc>
          <w:tcPr>
            <w:tcW w:w="2400" w:type="dxa"/>
          </w:tcPr>
          <w:p>
            <w:r>
              <w:t xml:space="preserve">Mediator</w:t>
            </w:r>
          </w:p>
        </w:tc>
        <w:tc>
          <w:tcPr>
            <w:tcW w:w="2400" w:type="dxa"/>
          </w:tcPr>
          <w:p>
            <w:r>
              <w:t xml:space="preserve">JHB FAMILY sp. z o.o. / person leading:</w:t>
            </w:r>
          </w:p>
        </w:tc>
      </w:tr>
    </w:tbl>
    <w:p>
      <w:r>
        <w:t xml:space="preserve">The procedure lays down the rules for reporting sales, stock, products transferred to the Partner, products sold, returned, advertised, damaged, lost, transferred to the exposure, used as test tools and products available on order. The procedure is used to properly settle sales, establish discounts, update the allocated stock, operate alarm thresholds and check the compliance of cooperation with the FIXON Partner Programme.</w:t>
      </w:r>
    </w:p>
    <w:p>
      <w:r>
        <w:t xml:space="preserve">The partner shall indicate the person responsible for the preparation and transmission of the reports and the replacement. The data of these persons should be entered in the Partner Charter or given to the Mediator in documentary form. The change of the person responsible for reporting shall require the update to be transmitted no later than 3 working days after the change.</w:t>
      </w:r>
    </w:p>
    <w:tbl>
      <w:tblPr>
        <w:tblW w:w="0" w:type="auto"/>
        <w:tblBorders>
          <w:top w:val="single" w:sz="4"/>
          <w:left w:val="single" w:sz="4"/>
          <w:bottom w:val="single" w:sz="4"/>
          <w:right w:val="single" w:sz="4"/>
          <w:insideH w:val="single" w:sz="4"/>
          <w:insideV w:val="single" w:sz="4"/>
        </w:tblBorders>
      </w:tblPr>
      <w:tr>
        <w:tc>
          <w:tcPr>
            <w:tcW w:w="2400" w:type="dxa"/>
          </w:tcPr>
          <w:p>
            <w:r>
              <w:t xml:space="preserve">Function</w:t>
            </w:r>
          </w:p>
        </w:tc>
        <w:tc>
          <w:tcPr>
            <w:tcW w:w="2400" w:type="dxa"/>
          </w:tcPr>
          <w:p>
            <w:r>
              <w:t xml:space="preserve">Name</w:t>
            </w:r>
          </w:p>
        </w:tc>
        <w:tc>
          <w:tcPr>
            <w:tcW w:w="2400" w:type="dxa"/>
          </w:tcPr>
          <w:p>
            <w:r>
              <w:t xml:space="preserve">Email / phone</w:t>
            </w:r>
          </w:p>
        </w:tc>
        <w:tc>
          <w:tcPr>
            <w:tcW w:w="2400" w:type="dxa"/>
          </w:tcPr>
          <w:p>
            <w:r>
              <w:t xml:space="preserve">Remarks</w:t>
            </w:r>
          </w:p>
        </w:tc>
      </w:tr>
      <w:tr>
        <w:tc>
          <w:tcPr>
            <w:tcW w:w="2400" w:type="dxa"/>
          </w:tcPr>
          <w:p>
            <w:r>
              <w:t xml:space="preserve">Reporting person</w:t>
            </w:r>
          </w:p>
        </w:tc>
        <w:tc>
          <w:tcPr>
            <w:tcW w:w="2400" w:type="dxa"/>
          </w:tcPr>
          <w:p>
            <w:r>
              <w:t xml:space="preserve">____________________________</w:t>
            </w:r>
          </w:p>
        </w:tc>
        <w:tc>
          <w:tcPr>
            <w:tcW w:w="2400" w:type="dxa"/>
          </w:tcPr>
          <w:p>
            <w:r>
              <w:t xml:space="preserve">____________________________</w:t>
            </w:r>
          </w:p>
        </w:tc>
        <w:tc>
          <w:tcPr>
            <w:tcW w:w="2400" w:type="dxa"/>
          </w:tcPr>
          <w:p>
            <w:r>
              <w:t xml:space="preserve">____________________________</w:t>
            </w:r>
          </w:p>
        </w:tc>
      </w:tr>
      <w:tr>
        <w:tc>
          <w:tcPr>
            <w:tcW w:w="2400" w:type="dxa"/>
          </w:tcPr>
          <w:p>
            <w:r>
              <w:t xml:space="preserve">Replacer</w:t>
            </w:r>
          </w:p>
        </w:tc>
        <w:tc>
          <w:tcPr>
            <w:tcW w:w="2400" w:type="dxa"/>
          </w:tcPr>
          <w:p>
            <w:r>
              <w:t xml:space="preserve">____________________________</w:t>
            </w:r>
          </w:p>
        </w:tc>
        <w:tc>
          <w:tcPr>
            <w:tcW w:w="2400" w:type="dxa"/>
          </w:tcPr>
          <w:p>
            <w:r>
              <w:t xml:space="preserve">____________________________</w:t>
            </w:r>
          </w:p>
        </w:tc>
        <w:tc>
          <w:tcPr>
            <w:tcW w:w="2400" w:type="dxa"/>
          </w:tcPr>
          <w:p>
            <w:r>
              <w:t xml:space="preserve">____________________________</w:t>
            </w:r>
          </w:p>
        </w:tc>
      </w:tr>
      <w:tr>
        <w:tc>
          <w:tcPr>
            <w:tcW w:w="2400" w:type="dxa"/>
          </w:tcPr>
          <w:p>
            <w:r>
              <w:t xml:space="preserve">Person on the Mediator side</w:t>
            </w:r>
          </w:p>
        </w:tc>
        <w:tc>
          <w:tcPr>
            <w:tcW w:w="2400" w:type="dxa"/>
          </w:tcPr>
          <w:p>
            <w:r>
              <w:t xml:space="preserve">____________________________</w:t>
            </w:r>
          </w:p>
        </w:tc>
        <w:tc>
          <w:tcPr>
            <w:tcW w:w="2400" w:type="dxa"/>
          </w:tcPr>
          <w:p>
            <w:r>
              <w:t xml:space="preserve">____________________________</w:t>
            </w:r>
          </w:p>
        </w:tc>
        <w:tc>
          <w:tcPr>
            <w:tcW w:w="2400" w:type="dxa"/>
          </w:tcPr>
          <w:p>
            <w:r>
              <w:t xml:space="preserve">____________________________</w:t>
            </w:r>
          </w:p>
        </w:tc>
      </w:tr>
    </w:tbl>
    <w:p>
      <w:r>
        <w:t xml:space="preserve">The monthly report shall be submitted to the 5th day of the month following the end of the Settlement Period. The report may be sent by e-mail, by CRM system, B2B system, a form indicated by the Supplier, a report sheet or other document form accepted by the Supplier or Mediator. If the 5th day of the month falls on a public holiday, the report may be transmitted on the next working day.</w:t>
      </w:r>
    </w:p>
    <w:tbl>
      <w:tblPr>
        <w:tblW w:w="0" w:type="auto"/>
        <w:tblBorders>
          <w:top w:val="single" w:sz="4"/>
          <w:left w:val="single" w:sz="4"/>
          <w:bottom w:val="single" w:sz="4"/>
          <w:right w:val="single" w:sz="4"/>
          <w:insideH w:val="single" w:sz="4"/>
          <w:insideV w:val="single" w:sz="4"/>
        </w:tblBorders>
      </w:tblPr>
      <w:tr>
        <w:tc>
          <w:tcPr>
            <w:tcW w:w="2400" w:type="dxa"/>
          </w:tcPr>
          <w:p>
            <w:r>
              <w:t xml:space="preserve">Report area</w:t>
            </w:r>
          </w:p>
        </w:tc>
        <w:tc>
          <w:tcPr>
            <w:tcW w:w="2400" w:type="dxa"/>
          </w:tcPr>
          <w:p>
            <w:r>
              <w:t xml:space="preserve">Data scope</w:t>
            </w:r>
          </w:p>
        </w:tc>
        <w:tc>
          <w:tcPr>
            <w:tcW w:w="2400" w:type="dxa"/>
          </w:tcPr>
          <w:p>
            <w:r>
              <w:t xml:space="preserve">Required / Remarks</w:t>
            </w:r>
          </w:p>
        </w:tc>
      </w:tr>
      <w:tr>
        <w:tc>
          <w:tcPr>
            <w:tcW w:w="2400" w:type="dxa"/>
          </w:tcPr>
          <w:p>
            <w:r>
              <w:t xml:space="preserve">Sales of FIXON products</w:t>
            </w:r>
          </w:p>
        </w:tc>
        <w:tc>
          <w:tcPr>
            <w:tcW w:w="2400" w:type="dxa"/>
          </w:tcPr>
          <w:p>
            <w:r>
              <w:t xml:space="preserve">number of pieces sold, product name, index/SCU, price, discount, sales date, sales document number, sales channel.</w:t>
            </w:r>
          </w:p>
        </w:tc>
        <w:tc>
          <w:tcPr>
            <w:tcW w:w="2400" w:type="dxa"/>
          </w:tcPr>
          <w:p>
            <w:r>
              <w:t xml:space="preserve">YES / according to the reporting pattern</w:t>
            </w:r>
          </w:p>
        </w:tc>
      </w:tr>
      <w:tr>
        <w:tc>
          <w:tcPr>
            <w:tcW w:w="2400" w:type="dxa"/>
          </w:tcPr>
          <w:p>
            <w:r>
              <w:t xml:space="preserve">Stocks</w:t>
            </w:r>
          </w:p>
        </w:tc>
        <w:tc>
          <w:tcPr>
            <w:tcW w:w="2400" w:type="dxa"/>
          </w:tcPr>
          <w:p>
            <w:r>
              <w:t xml:space="preserve">initial status, acceptances, sales, returns, final status, storage status, alert threshold.</w:t>
            </w:r>
          </w:p>
        </w:tc>
        <w:tc>
          <w:tcPr>
            <w:tcW w:w="2400" w:type="dxa"/>
          </w:tcPr>
          <w:p>
            <w:r>
              <w:t xml:space="preserve">YES / according to the reporting pattern</w:t>
            </w:r>
          </w:p>
        </w:tc>
      </w:tr>
      <w:tr>
        <w:tc>
          <w:tcPr>
            <w:tcW w:w="2400" w:type="dxa"/>
          </w:tcPr>
          <w:p>
            <w:r>
              <w:t xml:space="preserve">Launch warehouse</w:t>
            </w:r>
          </w:p>
        </w:tc>
        <w:tc>
          <w:tcPr>
            <w:tcW w:w="2400" w:type="dxa"/>
          </w:tcPr>
          <w:p>
            <w:r>
              <w:t xml:space="preserve">products issued in the framework of the starting warehouse, sales, remaining state, value of the limit allocated and used.</w:t>
            </w:r>
          </w:p>
        </w:tc>
        <w:tc>
          <w:tcPr>
            <w:tcW w:w="2400" w:type="dxa"/>
          </w:tcPr>
          <w:p>
            <w:r>
              <w:t xml:space="preserve">YES / according to the reporting pattern</w:t>
            </w:r>
          </w:p>
        </w:tc>
      </w:tr>
      <w:tr>
        <w:tc>
          <w:tcPr>
            <w:tcW w:w="2400" w:type="dxa"/>
          </w:tcPr>
          <w:p>
            <w:r>
              <w:t xml:space="preserve">Storage support</w:t>
            </w:r>
          </w:p>
        </w:tc>
        <w:tc>
          <w:tcPr>
            <w:tcW w:w="2400" w:type="dxa"/>
          </w:tcPr>
          <w:p>
            <w:r>
              <w:t xml:space="preserve">Supported products, current maximum sales, awarded states, level of additions, reported alert thresholds.</w:t>
            </w:r>
          </w:p>
        </w:tc>
        <w:tc>
          <w:tcPr>
            <w:tcW w:w="2400" w:type="dxa"/>
          </w:tcPr>
          <w:p>
            <w:r>
              <w:t xml:space="preserve">YES / according to the reporting pattern</w:t>
            </w:r>
          </w:p>
        </w:tc>
      </w:tr>
      <w:tr>
        <w:tc>
          <w:tcPr>
            <w:tcW w:w="2400" w:type="dxa"/>
          </w:tcPr>
          <w:p>
            <w:r>
              <w:t xml:space="preserve">Custom products</w:t>
            </w:r>
          </w:p>
        </w:tc>
        <w:tc>
          <w:tcPr>
            <w:tcW w:w="2400" w:type="dxa"/>
          </w:tcPr>
          <w:p>
            <w:r>
              <w:t xml:space="preserve">products ordered outside the current state, date of implementation, status of execution, value of sales and conversion to Sales Units, if applicable.</w:t>
            </w:r>
          </w:p>
        </w:tc>
        <w:tc>
          <w:tcPr>
            <w:tcW w:w="2400" w:type="dxa"/>
          </w:tcPr>
          <w:p>
            <w:r>
              <w:t xml:space="preserve">YES / according to the reporting pattern</w:t>
            </w:r>
          </w:p>
        </w:tc>
      </w:tr>
      <w:tr>
        <w:tc>
          <w:tcPr>
            <w:tcW w:w="2400" w:type="dxa"/>
          </w:tcPr>
          <w:p>
            <w:r>
              <w:t xml:space="preserve">Returns and complaints</w:t>
            </w:r>
          </w:p>
        </w:tc>
        <w:tc>
          <w:tcPr>
            <w:tcW w:w="2400" w:type="dxa"/>
          </w:tcPr>
          <w:p>
            <w:r>
              <w:t xml:space="preserve">notification number, date of notification, product, quantity, reason, status of the case, decision of the Supplier.</w:t>
            </w:r>
          </w:p>
        </w:tc>
        <w:tc>
          <w:tcPr>
            <w:tcW w:w="2400" w:type="dxa"/>
          </w:tcPr>
          <w:p>
            <w:r>
              <w:t xml:space="preserve">YES / according to the reporting pattern</w:t>
            </w:r>
          </w:p>
        </w:tc>
      </w:tr>
      <w:tr>
        <w:tc>
          <w:tcPr>
            <w:tcW w:w="2400" w:type="dxa"/>
          </w:tcPr>
          <w:p>
            <w:r>
              <w:t xml:space="preserve">Exposure and test tools</w:t>
            </w:r>
          </w:p>
        </w:tc>
        <w:tc>
          <w:tcPr>
            <w:tcW w:w="2400" w:type="dxa"/>
          </w:tcPr>
          <w:p>
            <w:r>
              <w:t xml:space="preserve">products submitted for exposure or testing, condition, wear, damage, loss, sale with the consent of the Supplier, if applicable.</w:t>
            </w:r>
          </w:p>
        </w:tc>
        <w:tc>
          <w:tcPr>
            <w:tcW w:w="2400" w:type="dxa"/>
          </w:tcPr>
          <w:p>
            <w:r>
              <w:t xml:space="preserve">YES / according to the reporting pattern</w:t>
            </w:r>
          </w:p>
        </w:tc>
      </w:tr>
      <w:tr>
        <w:tc>
          <w:tcPr>
            <w:tcW w:w="2400" w:type="dxa"/>
          </w:tcPr>
          <w:p>
            <w:r>
              <w:t xml:space="preserve">Divergentities and exceptional occurrences</w:t>
            </w:r>
          </w:p>
        </w:tc>
        <w:tc>
          <w:tcPr>
            <w:tcW w:w="2400" w:type="dxa"/>
          </w:tcPr>
          <w:p>
            <w:r>
              <w:t xml:space="preserve">deficiencies, damage, loss, incompatibility, delays, logistical events or other circumstances affecting settlements.</w:t>
            </w:r>
          </w:p>
        </w:tc>
        <w:tc>
          <w:tcPr>
            <w:tcW w:w="2400" w:type="dxa"/>
          </w:tcPr>
          <w:p>
            <w:r>
              <w:t xml:space="preserve">YES / according to the reporting pattern</w:t>
            </w:r>
          </w:p>
        </w:tc>
      </w:tr>
    </w:tbl>
    <w:p>
      <w:r>
        <w:t xml:space="preserve">A partner may report an alert threshold at any time if the condition of at least one item covered by storage support reaches the alert threshold specified for that item. An alert does not replace the monthly report and should cover the current state of play of all products covered by storage support in order to enable an assessment of the appropriateness of supplementing the entire warehouse to the levels allocated.</w:t>
      </w:r>
    </w:p>
    <w:p>
      <w:r>
        <w:t xml:space="preserve">The supplier or intermediary may verify the report, request explanations, photographs of the stocks, sales records, copies of billing documents or other information necessary to determine the correct result of the sale, discount, allocated stock, alert threshold or product liability. The Partner should provide explanations within 3 working days, unless otherwise agreed by the Parties.</w:t>
      </w:r>
    </w:p>
    <w:p>
      <w:r>
        <w:t xml:space="preserve">Failure to submit the report within the time limit, transmission of the incomplete report or the lack of explanation of significant discrepancies may suspend the calculation of the discount, the issue of billing documents, the addition of the warehouse, the update of the allocated stock and the granting or maintenance of additional allowances provided for in the FIXON Partnership Programme. If the Partner fails to submit the report despite the call, The supplier may settle the cooperation on the basis of available data, request inventory, suspend deliveries or apply other measures provided for in the FIXON Partnership Programme.</w:t>
      </w:r>
    </w:p>
    <w:p>
      <w:r>
        <w:t xml:space="preserve">The report shall be submitted in accordance with the reporting pattern indicated by the Supplier or Mediator. The model report may take the form of a spreadsheet, electronic form, PDF file, B2B system exports or other document form. The amendment of the template of the report does not require an annex if it is submitted to the Partner under the FIXON Partnership Programme in accordance with the rules for the transmission of programming documents.</w:t>
      </w:r>
    </w:p>
    <w:p>
      <w:r>
        <w:t xml:space="preserve">The Partner may object to this Reporting Procedure within 7 days of delivery. The absence of reservations within this deadline means the adoption of a procedure for informing and applying in the framework of current cooperation in the FIXON Partnership Programme. In the event of a statement of objections, the Parties shall clarify the content of the document, remove the discrepancies or prepare the final agreed version of the document. The final version of the document to which reservations have been made shall be approved by both Parties in the form of personal signatures or electronic signatures accepted by the Parties, unless otherwise agreed by the Parties in document correspondence.</w:t>
      </w:r>
    </w:p>
    <w:tbl>
      <w:tblPr>
        <w:tblW w:w="0" w:type="auto"/>
        <w:tblBorders>
          <w:top w:val="single" w:sz="4"/>
          <w:left w:val="single" w:sz="4"/>
          <w:bottom w:val="single" w:sz="4"/>
          <w:right w:val="single" w:sz="4"/>
          <w:insideH w:val="single" w:sz="4"/>
          <w:insideV w:val="single" w:sz="4"/>
        </w:tblBorders>
      </w:tblPr>
      <w:tr>
        <w:tc>
          <w:tcPr>
            <w:tcW w:w="2400" w:type="dxa"/>
          </w:tcPr>
          <w:p>
            <w:r>
              <w:t xml:space="preserve">Supplier</w:t>
            </w:r>
          </w:p>
        </w:tc>
        <w:tc>
          <w:tcPr>
            <w:tcW w:w="2400" w:type="dxa"/>
          </w:tcPr>
          <w:p>
            <w:r>
              <w:t xml:space="preserve">Partner</w:t>
            </w:r>
          </w:p>
        </w:tc>
        <w:tc>
          <w:tcPr>
            <w:tcW w:w="2400" w:type="dxa"/>
          </w:tcPr>
          <w:p>
            <w:r>
              <w:t xml:space="preserve">Mediator</w:t>
            </w:r>
          </w:p>
        </w:tc>
      </w:tr>
      <w:tr>
        <w:tc>
          <w:tcPr>
            <w:tcW w:w="2400" w:type="dxa"/>
          </w:tcPr>
          <w:p>
            <w:r>
              <w:t xml:space="preserve">Name, function:</w:t>
            </w:r>
          </w:p>
        </w:tc>
        <w:tc>
          <w:tcPr>
            <w:tcW w:w="2400" w:type="dxa"/>
          </w:tcPr>
          <w:p>
            <w:r>
              <w:t xml:space="preserve">Name, function:</w:t>
            </w:r>
          </w:p>
        </w:tc>
        <w:tc>
          <w:tcPr>
            <w:tcW w:w="2400" w:type="dxa"/>
          </w:tcPr>
          <w:p>
            <w:r>
              <w:t xml:space="preserve">Name, function:</w:t>
            </w:r>
          </w:p>
        </w:tc>
      </w:tr>
      <w:tr>
        <w:tc>
          <w:tcPr>
            <w:tcW w:w="2400" w:type="dxa"/>
          </w:tcPr>
          <w:p>
            <w:r>
              <w:t xml:space="preserve">Date and signature / electronic signature:</w:t>
            </w:r>
          </w:p>
        </w:tc>
        <w:tc>
          <w:tcPr>
            <w:tcW w:w="2400" w:type="dxa"/>
          </w:tcPr>
          <w:p>
            <w:r>
              <w:t xml:space="preserve">Date and signature / electronic signature:</w:t>
            </w:r>
          </w:p>
        </w:tc>
        <w:tc>
          <w:tcPr>
            <w:tcW w:w="2400" w:type="dxa"/>
          </w:tcPr>
          <w:p>
            <w:r>
              <w:t xml:space="preserve">Date and signature / electronic signature:</w:t>
            </w:r>
          </w:p>
        </w:tc>
      </w:tr>
    </w:tbl>
    <w:p>
      <w:r>
        <w:t xml:space="preserve">DOCX template is used for operational work and PDF for shipping or archiving.</w:t>
      </w:r>
    </w:p>
    <w:sectPr>
      <w:pgSz w:w="11906" w:h="16838"/>
      <w:pgMar w:top="1134" w:right="1134" w:bottom="1134" w:left="1134"/>
    </w:sectPr>
  </w:body>
</w:document>
</file>

<file path=word/styles.xml><?xml version="1.0" encoding="utf-8"?>
<w:styles xmlns:w="http://schemas.openxmlformats.org/wordprocessingml/2006/main">
  <w:style w:type="paragraph" w:styleId="Normal">
    <w:name w:val="Normal"/>
    <w:rPr>
      <w:rFonts w:ascii="Arial" w:hAnsi="Arial"/>
      <w:sz w:val="22"/>
    </w:rPr>
  </w:style>
  <w:style w:type="paragraph" w:styleId="Heading1">
    <w:name w:val="heading 1"/>
    <w:basedOn w:val="Normal"/>
    <w:rPr>
      <w:b/>
      <w:color w:val="124A2E"/>
      <w:sz w:val="38"/>
    </w:rPr>
  </w:style>
  <w:style w:type="paragraph" w:styleId="Heading2">
    <w:name w:val="heading 2"/>
    <w:basedOn w:val="Normal"/>
    <w:rPr>
      <w:b/>
      <w:color w:val="06271B"/>
      <w:sz w:val="2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