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Appendix: Product Return Procedure</w:t>
      </w:r>
    </w:p>
    <w:p>
      <w:r>
        <w:t xml:space="preserve">Rules for handling product returns in the partner model.</w:t>
      </w:r>
    </w:p>
    <w:p>
      <w:r>
        <w:t xml:space="preserve">A document setting out the rules for reporting, receiving, verifying and clearing returns under the FIXON Partnership Programme.</w:t>
      </w:r>
    </w:p>
    <w:tbl>
      <w:tblPr>
        <w:tblW w:w="0" w:type="auto"/>
        <w:tblBorders>
          <w:top w:val="single" w:sz="4"/>
          <w:left w:val="single" w:sz="4"/>
          <w:bottom w:val="single" w:sz="4"/>
          <w:right w:val="single" w:sz="4"/>
          <w:insideH w:val="single" w:sz="4"/>
          <w:insideV w:val="single" w:sz="4"/>
        </w:tblBorders>
      </w:tblPr>
      <w:tr>
        <w:tc>
          <w:tcPr>
            <w:tcW w:w="2400" w:type="dxa"/>
          </w:tcPr>
          <w:p>
            <w:r>
              <w:t xml:space="preserve">Field</w:t>
            </w:r>
          </w:p>
        </w:tc>
        <w:tc>
          <w:tcPr>
            <w:tcW w:w="2400" w:type="dxa"/>
          </w:tcPr>
          <w:p>
            <w:r>
              <w:t xml:space="preserve">Data / value</w:t>
            </w:r>
          </w:p>
        </w:tc>
      </w:tr>
      <w:tr>
        <w:tc>
          <w:tcPr>
            <w:tcW w:w="2400" w:type="dxa"/>
          </w:tcPr>
          <w:p>
            <w:r>
              <w:t xml:space="preserve">Document No</w:t>
            </w:r>
          </w:p>
        </w:tc>
        <w:tc>
          <w:tcPr>
            <w:tcW w:w="2400" w:type="dxa"/>
          </w:tcPr>
          <w:p>
            <w:r>
              <w:t xml:space="preserve">ZST/FIXON/ /</w:t>
            </w:r>
          </w:p>
        </w:tc>
      </w:tr>
      <w:tr>
        <w:tc>
          <w:tcPr>
            <w:tcW w:w="2400" w:type="dxa"/>
          </w:tcPr>
          <w:p>
            <w:r>
              <w:t xml:space="preserve">Date of issue</w:t>
            </w:r>
          </w:p>
        </w:tc>
        <w:tc>
          <w:tcPr>
            <w:tcW w:w="2400" w:type="dxa"/>
          </w:tcPr>
          <w:p>
            <w:r>
              <w:t xml:space="preserve">____ / ____ / ______</w:t>
            </w:r>
          </w:p>
        </w:tc>
      </w:tr>
      <w:tr>
        <w:tc>
          <w:tcPr>
            <w:tcW w:w="2400" w:type="dxa"/>
          </w:tcPr>
          <w:p>
            <w:r>
              <w:t xml:space="preserve">Partner</w:t>
            </w:r>
          </w:p>
        </w:tc>
        <w:tc>
          <w:tcPr>
            <w:tcW w:w="2400" w:type="dxa"/>
          </w:tcPr>
          <w:p>
            <w:r>
              <w:t xml:space="preserve">________________________________________</w:t>
            </w:r>
          </w:p>
        </w:tc>
      </w:tr>
      <w:tr>
        <w:tc>
          <w:tcPr>
            <w:tcW w:w="2400" w:type="dxa"/>
          </w:tcPr>
          <w:p>
            <w:r>
              <w:t xml:space="preserve">Supplier</w:t>
            </w:r>
          </w:p>
        </w:tc>
        <w:tc>
          <w:tcPr>
            <w:tcW w:w="2400" w:type="dxa"/>
          </w:tcPr>
          <w:p>
            <w:r>
              <w:t xml:space="preserve">FIXON IRYNA MUKOSIA</w:t>
            </w:r>
          </w:p>
        </w:tc>
      </w:tr>
      <w:tr>
        <w:tc>
          <w:tcPr>
            <w:tcW w:w="2400" w:type="dxa"/>
          </w:tcPr>
          <w:p>
            <w:r>
              <w:t xml:space="preserve">Mediator</w:t>
            </w:r>
          </w:p>
        </w:tc>
        <w:tc>
          <w:tcPr>
            <w:tcW w:w="2400" w:type="dxa"/>
          </w:tcPr>
          <w:p>
            <w:r>
              <w:t xml:space="preserve">JHB FAMILY sp. z o.o.</w:t>
            </w:r>
          </w:p>
        </w:tc>
      </w:tr>
      <w:tr>
        <w:tc>
          <w:tcPr>
            <w:tcW w:w="2400" w:type="dxa"/>
          </w:tcPr>
          <w:p>
            <w:r>
              <w:t xml:space="preserve">Period / scope</w:t>
            </w:r>
          </w:p>
        </w:tc>
        <w:tc>
          <w:tcPr>
            <w:tcW w:w="2400" w:type="dxa"/>
          </w:tcPr>
          <w:p>
            <w:r>
              <w:t xml:space="preserve">from / / to be cancelled or updated</w:t>
            </w:r>
          </w:p>
        </w:tc>
      </w:tr>
    </w:tbl>
    <w:p>
      <w:r>
        <w:t xml:space="preserve">The procedure shall lay down uniform rules for handling returns of FIXON products transferred or sold to the Partner under the Partner Programmeme, including products from the starting warehouse, products covered by storage support, products ordered individually, exhibition items, test tools and other products or materials provided to the Partner. The purpose of the procedure is to organise the circulation of information, to reduce the stock gap, to correctly settle returns and to ensure that return does not undermine the value of the brand, product quality or cooperation rules.</w:t>
      </w:r>
    </w:p>
    <w:p>
      <w:r>
        <w:t xml:space="preserve">The procedure applies to returns made by the Partner to the Supplier or to the place indicated by the Supplier or Mediator. The procedure shall include returns resulting from the termination of cooperation, the updating of the list of products, the exchange of exposures, the correction of stocks, the mis-issue, the transfer of products, the decision of the Supplier, the accepted complaint, the withdrawal of the product from the offer or other agreed circumstances. The procedure shall not replace the FIXON Complaint Procedure if the basis for the refund is the product defect reported by the final customer.</w:t>
      </w:r>
    </w:p>
    <w:p>
      <w:r>
        <w:t xml:space="preserve">The refund should be notified before the goods are returned. The notification shall indicate the Partner, the contact person, the document number, the reason for return, the product list, the quantity, the status of the products, the invoice numbers or the transfer documents, the proposed means of receipt and whether the return relates to the product sold, warehouse, exhibition, test, demonstration, premiere or other. A non-notified refund may be accepted conditionally or returned to the Partner at its expense if it is not possible to determine the basis for reimbursement.</w:t>
      </w:r>
    </w:p>
    <w:p>
      <w:r>
        <w:t xml:space="preserve">The return requires the acceptance of the Supplier or Agent acting in the field of cooperation, unless the return is directly attributable to the supplier's previous written order. The reimbursement may be accepted in document form, in particular by e-mail, through a CRM system, B2B system or a communicator. Repayment acceptance does not mean automatic recognition of the value of the return settlement, which may depend on the condition of the product, completeness, packaging, documents and reason for return.</w:t>
      </w:r>
    </w:p>
    <w:p>
      <w:r>
        <w:t xml:space="preserve">The returned goods should be complete, clean, secured for transport and described in such a way as to identify the product and Partner. The product shall have all the elements, accessories, markings and documents that have been provided with the product, unless the lack of them results from normal use accepted by the Supplier. Products damaged, incomplete, over-used, destroyed, modified, unmarked or returned without the required information may be accepted subject to, accounted for in lower value or not accepted.</w:t>
      </w:r>
    </w:p>
    <w:p>
      <w:r>
        <w:t xml:space="preserve">The costs of transport of returned goods shall be borne by the Partner unless the reason for return lies with the Supplier or the Parties agree otherwise in document form. The risk of loss, damage or destruction of the goods during transport to the place indicated by the Supplier shall be borne by the transport operator unless the Parties agree otherwise to receive the goods. The partner should protect the product in a manner appropriate to its type, value and weight.</w:t>
      </w:r>
    </w:p>
    <w:p>
      <w:r>
        <w:t xml:space="preserve">Upon receipt of the goods, the Supplier or the person indicated by him shall carry out quantitative and qualitative checks on the return. Verification may include verification of compliance with the return document, completeness, condition of packaging, technical condition, traces of use, damage, dirt, modifications, markings, product numbers and compliance with sales or transfer documents. The result of the verification can be described in the protocol, email, system note or other document.</w:t>
      </w:r>
    </w:p>
    <w:p>
      <w:r>
        <w:t xml:space="preserve">A refund accepted and accepted without reservation may be settled either by an invoice correction, a stock adjustment, a replacement of a product, a reduction in the subsequent settlement, an update of the report or otherwise agreed by the Parties. The return of the damaged, incomplete, over-used or returned product for reasons attributable to the Partner may be settled with a deduction of the value, according to the rules set out in the Partner Programme, Pricelist, Transfer Protocol or individual Supplier Decision.</w:t>
      </w:r>
    </w:p>
    <w:p>
      <w:r>
        <w:t xml:space="preserve">In the event of termination of the cooperation, the Partner is obliged to prepare for the return of the products, materials and items remaining in the supplier's ownership, in particular products from the starting warehouse, products covered by storage support, test tools, exposure elements and marketing materials, unless otherwise agreed by the Parties. The phrase should be preceded by a state statement and, if necessary, by an inventory. Failure to cooperate on receiving or returning may result in the value of the transferred products in accordance with the Partner Programmeme.</w:t>
      </w:r>
    </w:p>
    <w:p>
      <w:r>
        <w:t xml:space="preserve">A refund may be required: return declaration, product listing, photographs, status description, transfer document, invoice number, monthly report number, discrepancy protocol, damage protocol or other document indicated by the Supplier or Mediator. Documents may be kept in documentary form. The partner should keep the acknowledgement of transmission, receipt and correspondence concerning return until final settlement.</w:t>
      </w:r>
    </w:p>
    <w:p>
      <w:r>
        <w:t xml:space="preserve">Return table</w:t>
      </w:r>
    </w:p>
    <w:tbl>
      <w:tblPr>
        <w:tblW w:w="0" w:type="auto"/>
        <w:tblBorders>
          <w:top w:val="single" w:sz="4"/>
          <w:left w:val="single" w:sz="4"/>
          <w:bottom w:val="single" w:sz="4"/>
          <w:right w:val="single" w:sz="4"/>
          <w:insideH w:val="single" w:sz="4"/>
          <w:insideV w:val="single" w:sz="4"/>
        </w:tblBorders>
      </w:tblPr>
      <w:tr>
        <w:tc>
          <w:tcPr>
            <w:tcW w:w="2400" w:type="dxa"/>
          </w:tcPr>
          <w:p>
            <w:r>
              <w:t xml:space="preserve">Lp.</w:t>
            </w:r>
          </w:p>
        </w:tc>
        <w:tc>
          <w:tcPr>
            <w:tcW w:w="2400" w:type="dxa"/>
          </w:tcPr>
          <w:p>
            <w:r>
              <w:t xml:space="preserve">Product name / element</w:t>
            </w:r>
          </w:p>
        </w:tc>
        <w:tc>
          <w:tcPr>
            <w:tcW w:w="2400" w:type="dxa"/>
          </w:tcPr>
          <w:p>
            <w:r>
              <w:t xml:space="preserve">Code / SKU</w:t>
            </w:r>
          </w:p>
        </w:tc>
        <w:tc>
          <w:tcPr>
            <w:tcW w:w="2400" w:type="dxa"/>
          </w:tcPr>
          <w:p>
            <w:r>
              <w:t xml:space="preserve">Quantity</w:t>
            </w:r>
          </w:p>
        </w:tc>
        <w:tc>
          <w:tcPr>
            <w:tcW w:w="2400" w:type="dxa"/>
          </w:tcPr>
          <w:p>
            <w:r>
              <w:t xml:space="preserve">Product status</w:t>
            </w:r>
          </w:p>
        </w:tc>
        <w:tc>
          <w:tcPr>
            <w:tcW w:w="2400" w:type="dxa"/>
          </w:tcPr>
          <w:p>
            <w:r>
              <w:t xml:space="preserve">Reason for reimbursement</w:t>
            </w:r>
          </w:p>
        </w:tc>
        <w:tc>
          <w:tcPr>
            <w:tcW w:w="2400" w:type="dxa"/>
          </w:tcPr>
          <w:p>
            <w:r>
              <w:t xml:space="preserve">Product status</w:t>
            </w:r>
          </w:p>
        </w:tc>
        <w:tc>
          <w:tcPr>
            <w:tcW w:w="2400" w:type="dxa"/>
          </w:tcPr>
          <w:p>
            <w:r>
              <w:t xml:space="preserve">Gross value</w:t>
            </w:r>
          </w:p>
        </w:tc>
        <w:tc>
          <w:tcPr>
            <w:tcW w:w="2400" w:type="dxa"/>
          </w:tcPr>
          <w:p>
            <w:r>
              <w:t xml:space="preserve">Decision</w:t>
            </w:r>
          </w:p>
        </w:tc>
      </w:tr>
      <w:tr>
        <w:tc>
          <w:tcPr>
            <w:tcW w:w="2400" w:type="dxa"/>
          </w:tcPr>
          <w:p>
            <w:r>
              <w:t xml:space="preserve">1</w:t>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r>
      <w:tr>
        <w:tc>
          <w:tcPr>
            <w:tcW w:w="2400" w:type="dxa"/>
          </w:tcPr>
          <w:p>
            <w:r>
              <w:t xml:space="preserve">2</w:t>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r>
      <w:tr>
        <w:tc>
          <w:tcPr>
            <w:tcW w:w="2400" w:type="dxa"/>
          </w:tcPr>
          <w:p>
            <w:r>
              <w:t xml:space="preserve">3</w:t>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r>
      <w:tr>
        <w:tc>
          <w:tcPr>
            <w:tcW w:w="2400" w:type="dxa"/>
          </w:tcPr>
          <w:p>
            <w:r>
              <w:t xml:space="preserve">4</w:t>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r>
      <w:tr>
        <w:tc>
          <w:tcPr>
            <w:tcW w:w="2400" w:type="dxa"/>
          </w:tcPr>
          <w:p>
            <w:r>
              <w:t xml:space="preserve">5</w:t>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r>
      <w:tr>
        <w:tc>
          <w:tcPr>
            <w:tcW w:w="2400" w:type="dxa"/>
          </w:tcPr>
          <w:p>
            <w:r>
              <w:t xml:space="preserve">6</w:t>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r>
      <w:tr>
        <w:tc>
          <w:tcPr>
            <w:tcW w:w="2400" w:type="dxa"/>
          </w:tcPr>
          <w:p>
            <w:r>
              <w:t xml:space="preserve">7</w:t>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c>
          <w:tcPr>
            <w:tcW w:w="2400" w:type="dxa"/>
          </w:tcPr>
          <w:p>
            <w:r>
              <w:t xml:space="preserve"/>
            </w:r>
          </w:p>
        </w:tc>
      </w:tr>
    </w:tbl>
    <w:p>
      <w:r>
        <w:t xml:space="preserve">Reservation and approval clause</w:t>
      </w:r>
    </w:p>
    <w:p>
      <w:r>
        <w:t xml:space="preserve">This document shall be forwarded to the Partner under the FIXON Partnership Programme. The Partner may object to the content of the document within 7 days of its delivery. The absence of reservations within that period shall mean the adoption of a document for information and use in current cooperation. In the event of a statement of objections, the document shall not be adopted in the absence of any objection to the scope covered by the declaration, and the final agreed version shall be approved by both Parties in the form of personal signatures or electronic signatures accepted by the Parties, unless otherwise agreed by the Parties in document correspondence.</w:t>
      </w:r>
    </w:p>
    <w:p>
      <w:r>
        <w:t xml:space="preserve">Signatures/approval of final version</w:t>
      </w:r>
    </w:p>
    <w:tbl>
      <w:tblPr>
        <w:tblW w:w="0" w:type="auto"/>
        <w:tblBorders>
          <w:top w:val="single" w:sz="4"/>
          <w:left w:val="single" w:sz="4"/>
          <w:bottom w:val="single" w:sz="4"/>
          <w:right w:val="single" w:sz="4"/>
          <w:insideH w:val="single" w:sz="4"/>
          <w:insideV w:val="single" w:sz="4"/>
        </w:tblBorders>
      </w:tblPr>
      <w:tr>
        <w:tc>
          <w:tcPr>
            <w:tcW w:w="2400" w:type="dxa"/>
          </w:tcPr>
          <w:p>
            <w:r>
              <w:t xml:space="preserve">Supplier</w:t>
            </w:r>
          </w:p>
        </w:tc>
        <w:tc>
          <w:tcPr>
            <w:tcW w:w="2400" w:type="dxa"/>
          </w:tcPr>
          <w:p>
            <w:r>
              <w:t xml:space="preserve">Partner</w:t>
            </w:r>
          </w:p>
        </w:tc>
        <w:tc>
          <w:tcPr>
            <w:tcW w:w="2400" w:type="dxa"/>
          </w:tcPr>
          <w:p>
            <w:r>
              <w:t xml:space="preserve">Mediator</w:t>
            </w:r>
          </w:p>
        </w:tc>
      </w:tr>
      <w:tr>
        <w:tc>
          <w:tcPr>
            <w:tcW w:w="2400" w:type="dxa"/>
          </w:tcPr>
          <w:p>
            <w:r>
              <w:t xml:space="preserve">..................................................................................................................... Date and signature / electronic signature</w:t>
            </w:r>
          </w:p>
        </w:tc>
        <w:tc>
          <w:tcPr>
            <w:tcW w:w="2400" w:type="dxa"/>
          </w:tcPr>
          <w:p>
            <w:r>
              <w:t xml:space="preserve">..................................................................................................................... Date and signature / electronic signature</w:t>
            </w:r>
          </w:p>
        </w:tc>
        <w:tc>
          <w:tcPr>
            <w:tcW w:w="2400" w:type="dxa"/>
          </w:tcPr>
          <w:p>
            <w:r>
              <w:t xml:space="preserve">..................................................................................................................... Date and signature / electronic signature</w:t>
            </w:r>
          </w:p>
        </w:tc>
      </w:tr>
    </w:tbl>
    <w:p>
      <w:r>
        <w:t xml:space="preserve">DOCX template is used for operational work and PDF for shipping or archiving.</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rFonts w:ascii="Arial" w:hAnsi="Arial"/>
      <w:sz w:val="22"/>
    </w:rPr>
  </w:style>
  <w:style w:type="paragraph" w:styleId="Heading1">
    <w:name w:val="heading 1"/>
    <w:basedOn w:val="Normal"/>
    <w:rPr>
      <w:b/>
      <w:color w:val="124A2E"/>
      <w:sz w:val="38"/>
    </w:rPr>
  </w:style>
  <w:style w:type="paragraph" w:styleId="Heading2">
    <w:name w:val="heading 2"/>
    <w:basedOn w:val="Normal"/>
    <w:rPr>
      <w:b/>
      <w:color w:val="06271B"/>
      <w:sz w:val="2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