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Stock Discrepancy Protocol</w:t>
      </w:r>
    </w:p>
    <w:p>
      <w:r>
        <w:t xml:space="preserve">Report on actual and documentary state differences.</w:t>
      </w:r>
    </w:p>
    <w:tbl>
      <w:tblPr>
        <w:tblW w:w="0" w:type="auto"/>
        <w:tblBorders>
          <w:top w:val="single" w:sz="4"/>
          <w:left w:val="single" w:sz="4"/>
          <w:bottom w:val="single" w:sz="4"/>
          <w:right w:val="single" w:sz="4"/>
          <w:insideH w:val="single" w:sz="4"/>
          <w:insideV w:val="single" w:sz="4"/>
        </w:tblBorders>
      </w:tblPr>
      <w:tr>
        <w:tc>
          <w:tcPr>
            <w:tcW w:w="2400" w:type="dxa"/>
          </w:tcPr>
          <w:p>
            <w:r>
              <w:t xml:space="preserve">Protocol number</w:t>
            </w:r>
          </w:p>
        </w:tc>
        <w:tc>
          <w:tcPr>
            <w:tcW w:w="2400" w:type="dxa"/>
          </w:tcPr>
          <w:p>
            <w:r>
              <w:t xml:space="preserve"/>
            </w:r>
          </w:p>
        </w:tc>
        <w:tc>
          <w:tcPr>
            <w:tcW w:w="2400" w:type="dxa"/>
          </w:tcPr>
          <w:p>
            <w:r>
              <w:t xml:space="preserve">Date of preparation</w:t>
            </w:r>
          </w:p>
        </w:tc>
        <w:tc>
          <w:tcPr>
            <w:tcW w:w="2400" w:type="dxa"/>
          </w:tcPr>
          <w:p>
            <w:r>
              <w:t xml:space="preserve"/>
            </w:r>
          </w:p>
        </w:tc>
      </w:tr>
      <w:tr>
        <w:tc>
          <w:tcPr>
            <w:tcW w:w="2400" w:type="dxa"/>
          </w:tcPr>
          <w:p>
            <w:r>
              <w:t xml:space="preserve">Place of preparation</w:t>
            </w:r>
          </w:p>
        </w:tc>
        <w:tc>
          <w:tcPr>
            <w:tcW w:w="2400" w:type="dxa"/>
          </w:tcPr>
          <w:p>
            <w:r>
              <w:t xml:space="preserve"/>
            </w:r>
          </w:p>
        </w:tc>
        <w:tc>
          <w:tcPr>
            <w:tcW w:w="2400" w:type="dxa"/>
          </w:tcPr>
          <w:p>
            <w:r>
              <w:t xml:space="preserve">Period/date of inspection</w:t>
            </w:r>
          </w:p>
        </w:tc>
        <w:tc>
          <w:tcPr>
            <w:tcW w:w="2400" w:type="dxa"/>
          </w:tcPr>
          <w:p>
            <w:r>
              <w:t xml:space="preserve"/>
            </w:r>
          </w:p>
        </w:tc>
      </w:tr>
      <w:tr>
        <w:tc>
          <w:tcPr>
            <w:tcW w:w="2400" w:type="dxa"/>
          </w:tcPr>
          <w:p>
            <w:r>
              <w:t xml:space="preserve">Related inventory protocol</w:t>
            </w:r>
          </w:p>
        </w:tc>
        <w:tc>
          <w:tcPr>
            <w:tcW w:w="2400" w:type="dxa"/>
          </w:tcPr>
          <w:p>
            <w:r>
              <w:t xml:space="preserve"/>
            </w:r>
          </w:p>
        </w:tc>
        <w:tc>
          <w:tcPr>
            <w:tcW w:w="2400" w:type="dxa"/>
          </w:tcPr>
          <w:p>
            <w:r>
              <w:t xml:space="preserve">Related monthly report</w:t>
            </w:r>
          </w:p>
        </w:tc>
        <w:tc>
          <w:tcPr>
            <w:tcW w:w="2400" w:type="dxa"/>
          </w:tcPr>
          <w:p>
            <w:r>
              <w:t xml:space="preserve"/>
            </w:r>
          </w:p>
        </w:tc>
      </w:tr>
      <w:tr>
        <w:tc>
          <w:tcPr>
            <w:tcW w:w="2400" w:type="dxa"/>
          </w:tcPr>
          <w:p>
            <w:r>
              <w:t xml:space="preserve">Partner</w:t>
            </w:r>
          </w:p>
        </w:tc>
        <w:tc>
          <w:tcPr>
            <w:tcW w:w="2400" w:type="dxa"/>
          </w:tcPr>
          <w:p>
            <w:r>
              <w:t xml:space="preserve"/>
            </w:r>
          </w:p>
        </w:tc>
        <w:tc>
          <w:tcPr>
            <w:tcW w:w="2400" w:type="dxa"/>
          </w:tcPr>
          <w:p>
            <w:r>
              <w:t xml:space="preserve">Location</w:t>
            </w:r>
          </w:p>
        </w:tc>
        <w:tc>
          <w:tcPr>
            <w:tcW w:w="2400" w:type="dxa"/>
          </w:tcPr>
          <w:p>
            <w:r>
              <w:t xml:space="preserve"/>
            </w:r>
          </w:p>
        </w:tc>
      </w:tr>
      <w:tr>
        <w:tc>
          <w:tcPr>
            <w:tcW w:w="2400" w:type="dxa"/>
          </w:tcPr>
          <w:p>
            <w:r>
              <w:t xml:space="preserve">Reporting person</w:t>
            </w:r>
          </w:p>
        </w:tc>
        <w:tc>
          <w:tcPr>
            <w:tcW w:w="2400" w:type="dxa"/>
          </w:tcPr>
          <w:p>
            <w:r>
              <w:t xml:space="preserve"/>
            </w:r>
          </w:p>
        </w:tc>
        <w:tc>
          <w:tcPr>
            <w:tcW w:w="2400" w:type="dxa"/>
          </w:tcPr>
          <w:p>
            <w:r>
              <w:t xml:space="preserve">Verification person</w:t>
            </w:r>
          </w:p>
        </w:tc>
        <w:tc>
          <w:tcPr>
            <w:tcW w:w="2400" w:type="dxa"/>
          </w:tcPr>
          <w:p>
            <w:r>
              <w:t xml:space="preserve"/>
            </w:r>
          </w:p>
        </w:tc>
      </w:tr>
    </w:tbl>
    <w:p>
      <w:r>
        <w:t xml:space="preserve">The FIXON Warehouse Divergentity Protocol serves to document differences between the registered state, reported or resulting from transfer documents and the condition actually identified with the Partner.</w:t>
      </w:r>
    </w:p>
    <w:p>
      <w:r>
        <w:t xml:space="preserve">The protocol may be drawn up after inventory, periodic inspection, emergency notification, monthly report, return of goods, termination of cooperation or in any other case where the absence, excess, damage, value incompatibility, non-compliance with the status of the product or any other difference requiring clarification has been disclosed.</w:t>
      </w:r>
    </w:p>
    <w:p>
      <w:r>
        <w:t xml:space="preserve">The protocol does not itself determine the Partner's guilt, but is an explanatory and billing document. The final decision on how to settle discrepancies follows the verification of data, documents, photographs, reports and explanations of the Partner.</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Product name / element</w:t>
            </w:r>
          </w:p>
        </w:tc>
        <w:tc>
          <w:tcPr>
            <w:tcW w:w="2400" w:type="dxa"/>
          </w:tcPr>
          <w:p>
            <w:r>
              <w:t xml:space="preserve">SKU / code</w:t>
            </w:r>
          </w:p>
        </w:tc>
        <w:tc>
          <w:tcPr>
            <w:tcW w:w="2400" w:type="dxa"/>
          </w:tcPr>
          <w:p>
            <w:r>
              <w:t xml:space="preserve">Product status</w:t>
            </w:r>
          </w:p>
        </w:tc>
        <w:tc>
          <w:tcPr>
            <w:tcW w:w="2400" w:type="dxa"/>
          </w:tcPr>
          <w:p>
            <w:r>
              <w:t xml:space="preserve">Registration</w:t>
            </w:r>
          </w:p>
        </w:tc>
        <w:tc>
          <w:tcPr>
            <w:tcW w:w="2400" w:type="dxa"/>
          </w:tcPr>
          <w:p>
            <w:r>
              <w:t xml:space="preserve">Facts</w:t>
            </w:r>
          </w:p>
        </w:tc>
        <w:tc>
          <w:tcPr>
            <w:tcW w:w="2400" w:type="dxa"/>
          </w:tcPr>
          <w:p>
            <w:r>
              <w:t xml:space="preserve">Difference +/-</w:t>
            </w:r>
          </w:p>
        </w:tc>
        <w:tc>
          <w:tcPr>
            <w:tcW w:w="2400" w:type="dxa"/>
          </w:tcPr>
          <w:p>
            <w:r>
              <w:t xml:space="preserve">Gross price</w:t>
            </w:r>
          </w:p>
        </w:tc>
        <w:tc>
          <w:tcPr>
            <w:tcW w:w="2400" w:type="dxa"/>
          </w:tcPr>
          <w:p>
            <w:r>
              <w:t xml:space="preserve">Difference value</w:t>
            </w:r>
          </w:p>
        </w:tc>
        <w:tc>
          <w:tcPr>
            <w:tcW w:w="2400" w:type="dxa"/>
          </w:tcPr>
          <w:p>
            <w:r>
              <w:t xml:space="preserve">Type of discrepancy</w:t>
            </w:r>
          </w:p>
        </w:tc>
        <w:tc>
          <w:tcPr>
            <w:tcW w:w="2400" w:type="dxa"/>
          </w:tcPr>
          <w:p>
            <w:r>
              <w:t xml:space="preserve">Remarks</w:t>
            </w:r>
          </w:p>
        </w:tc>
      </w:tr>
      <w:tr>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bl>
    <w:tbl>
      <w:tblPr>
        <w:tblW w:w="0" w:type="auto"/>
        <w:tblBorders>
          <w:top w:val="single" w:sz="4"/>
          <w:left w:val="single" w:sz="4"/>
          <w:bottom w:val="single" w:sz="4"/>
          <w:right w:val="single" w:sz="4"/>
          <w:insideH w:val="single" w:sz="4"/>
          <w:insideV w:val="single" w:sz="4"/>
        </w:tblBorders>
      </w:tblPr>
      <w:tr>
        <w:tc>
          <w:tcPr>
            <w:tcW w:w="2400" w:type="dxa"/>
          </w:tcPr>
          <w:p>
            <w:r>
              <w:t xml:space="preserve">Type of discrepancy</w:t>
            </w:r>
          </w:p>
        </w:tc>
        <w:tc>
          <w:tcPr>
            <w:tcW w:w="2400" w:type="dxa"/>
          </w:tcPr>
          <w:p>
            <w:r>
              <w:t xml:space="preserve">Description</w:t>
            </w:r>
          </w:p>
        </w:tc>
        <w:tc>
          <w:tcPr>
            <w:tcW w:w="2400" w:type="dxa"/>
          </w:tcPr>
          <w:p>
            <w:r>
              <w:t xml:space="preserve">Default direction of explanation</w:t>
            </w:r>
          </w:p>
        </w:tc>
      </w:tr>
      <w:tr>
        <w:tc>
          <w:tcPr>
            <w:tcW w:w="2400" w:type="dxa"/>
          </w:tcPr>
          <w:p>
            <w:r>
              <w:t xml:space="preserve">No quantitative</w:t>
            </w:r>
          </w:p>
        </w:tc>
        <w:tc>
          <w:tcPr>
            <w:tcW w:w="2400" w:type="dxa"/>
          </w:tcPr>
          <w:p>
            <w:r>
              <w:t xml:space="preserve">The actual state is lower than the state resulting from documents or reports.</w:t>
            </w:r>
          </w:p>
        </w:tc>
        <w:tc>
          <w:tcPr>
            <w:tcW w:w="2400" w:type="dxa"/>
          </w:tcPr>
          <w:p>
            <w:r>
              <w:t xml:space="preserve">Determine whether the product has been sold, misreported, damaged, lost or moved.</w:t>
            </w:r>
          </w:p>
        </w:tc>
      </w:tr>
      <w:tr>
        <w:tc>
          <w:tcPr>
            <w:tcW w:w="2400" w:type="dxa"/>
          </w:tcPr>
          <w:p>
            <w:r>
              <w:t xml:space="preserve">Quantity surplus</w:t>
            </w:r>
          </w:p>
        </w:tc>
        <w:tc>
          <w:tcPr>
            <w:tcW w:w="2400" w:type="dxa"/>
          </w:tcPr>
          <w:p>
            <w:r>
              <w:t xml:space="preserve">The actual state is higher than the state resulting from documents or reports.</w:t>
            </w:r>
          </w:p>
        </w:tc>
        <w:tc>
          <w:tcPr>
            <w:tcW w:w="2400" w:type="dxa"/>
          </w:tcPr>
          <w:p>
            <w:r>
              <w:t xml:space="preserve">Determination of the source of surplus, reporting error, dual issue or unaccounted delivery.</w:t>
            </w:r>
          </w:p>
        </w:tc>
      </w:tr>
      <w:tr>
        <w:tc>
          <w:tcPr>
            <w:tcW w:w="2400" w:type="dxa"/>
          </w:tcPr>
          <w:p>
            <w:r>
              <w:t xml:space="preserve">Value discrepancy</w:t>
            </w:r>
          </w:p>
        </w:tc>
        <w:tc>
          <w:tcPr>
            <w:tcW w:w="2400" w:type="dxa"/>
          </w:tcPr>
          <w:p>
            <w:r>
              <w:t xml:space="preserve">The quantity may be compatible, but the value, price, discount or delivery cost are incompatible with the applicable price list or document.</w:t>
            </w:r>
          </w:p>
        </w:tc>
        <w:tc>
          <w:tcPr>
            <w:tcW w:w="2400" w:type="dxa"/>
          </w:tcPr>
          <w:p>
            <w:r>
              <w:t xml:space="preserve">Verification of pricelist, discount, product status, invoice, delivery cost and duration of the document.</w:t>
            </w:r>
          </w:p>
        </w:tc>
      </w:tr>
      <w:tr>
        <w:tc>
          <w:tcPr>
            <w:tcW w:w="2400" w:type="dxa"/>
          </w:tcPr>
          <w:p>
            <w:r>
              <w:t xml:space="preserve">Divergent status</w:t>
            </w:r>
          </w:p>
        </w:tc>
        <w:tc>
          <w:tcPr>
            <w:tcW w:w="2400" w:type="dxa"/>
          </w:tcPr>
          <w:p>
            <w:r>
              <w:t xml:space="preserve">The product was marked or used not according to its status, e.g. test, exhibition, warehouse, premiere or excluded from the sales result.</w:t>
            </w:r>
          </w:p>
        </w:tc>
        <w:tc>
          <w:tcPr>
            <w:tcW w:w="2400" w:type="dxa"/>
          </w:tcPr>
          <w:p>
            <w:r>
              <w:t xml:space="preserve">Verification of the Product Status Sheet, Transfer Protocols and Software Documents.</w:t>
            </w:r>
          </w:p>
        </w:tc>
      </w:tr>
      <w:tr>
        <w:tc>
          <w:tcPr>
            <w:tcW w:w="2400" w:type="dxa"/>
          </w:tcPr>
          <w:p>
            <w:r>
              <w:t xml:space="preserve">Damage/over-normative wear</w:t>
            </w:r>
          </w:p>
        </w:tc>
        <w:tc>
          <w:tcPr>
            <w:tcW w:w="2400" w:type="dxa"/>
          </w:tcPr>
          <w:p>
            <w:r>
              <w:t xml:space="preserve">The product or exposure element has damage beyond normal wear.</w:t>
            </w:r>
          </w:p>
        </w:tc>
        <w:tc>
          <w:tcPr>
            <w:tcW w:w="2400" w:type="dxa"/>
          </w:tcPr>
          <w:p>
            <w:r>
              <w:t xml:space="preserve">Establishing the cause, responsible person and method of accounting.</w:t>
            </w:r>
          </w:p>
        </w:tc>
      </w:tr>
      <w:tr>
        <w:tc>
          <w:tcPr>
            <w:tcW w:w="2400" w:type="dxa"/>
          </w:tcPr>
          <w:p>
            <w:r>
              <w:t xml:space="preserve">No documentation</w:t>
            </w:r>
          </w:p>
        </w:tc>
        <w:tc>
          <w:tcPr>
            <w:tcW w:w="2400" w:type="dxa"/>
          </w:tcPr>
          <w:p>
            <w:r>
              <w:t xml:space="preserve">No report, photo, protocol, sales confirmation, release, return or complaint.</w:t>
            </w:r>
          </w:p>
        </w:tc>
        <w:tc>
          <w:tcPr>
            <w:tcW w:w="2400" w:type="dxa"/>
          </w:tcPr>
          <w:p>
            <w:r>
              <w:t xml:space="preserve">Documentation and clearance verification.</w:t>
            </w:r>
          </w:p>
        </w:tc>
      </w:tr>
    </w:tbl>
    <w:p>
      <w:r>
        <w:t xml:space="preserve">The Partner may provide explanations of any discrepancy, in particular, indicate sales, return, complaint, transfer between establishments, damage, report error, mistake in accepting delivery or other reason for the difference.</w:t>
      </w:r>
    </w:p>
    <w:p>
      <w:r>
        <w:t xml:space="preserve">Explanations should be provided in documentary form together with supporting documents where available. The explanations may be accompanied by photographs, sales records, cash reports, release documents, customer correspondence, complaint documents or other evidence.</w:t>
      </w:r>
    </w:p>
    <w:tbl>
      <w:tblPr>
        <w:tblW w:w="0" w:type="auto"/>
        <w:tblBorders>
          <w:top w:val="single" w:sz="4"/>
          <w:left w:val="single" w:sz="4"/>
          <w:bottom w:val="single" w:sz="4"/>
          <w:right w:val="single" w:sz="4"/>
          <w:insideH w:val="single" w:sz="4"/>
          <w:insideV w:val="single" w:sz="4"/>
        </w:tblBorders>
      </w:tblPr>
      <w:tr>
        <w:tc>
          <w:tcPr>
            <w:tcW w:w="2400" w:type="dxa"/>
          </w:tcPr>
          <w:p>
            <w:r>
              <w:t xml:space="preserve">Description of the Partner's explanations</w:t>
            </w:r>
          </w:p>
        </w:tc>
        <w:tc>
          <w:tcPr>
            <w:tcW w:w="2400" w:type="dxa"/>
          </w:tcPr>
          <w:p>
            <w:r>
              <w:t xml:space="preserve"/>
            </w:r>
          </w:p>
        </w:tc>
      </w:tr>
      <w:tr>
        <w:tc>
          <w:tcPr>
            <w:tcW w:w="2400" w:type="dxa"/>
          </w:tcPr>
          <w:p>
            <w:r>
              <w:t xml:space="preserve">Documents / attachments provided by the Partner</w:t>
            </w:r>
          </w:p>
        </w:tc>
        <w:tc>
          <w:tcPr>
            <w:tcW w:w="2400" w:type="dxa"/>
          </w:tcPr>
          <w:p>
            <w:r>
              <w:t xml:space="preserve"/>
            </w:r>
          </w:p>
        </w:tc>
      </w:tr>
      <w:tr>
        <w:tc>
          <w:tcPr>
            <w:tcW w:w="2400" w:type="dxa"/>
          </w:tcPr>
          <w:p>
            <w:r>
              <w:t xml:space="preserve">Position Supplier / Mediator</w:t>
            </w:r>
          </w:p>
        </w:tc>
        <w:tc>
          <w:tcPr>
            <w:tcW w:w="2400" w:type="dxa"/>
          </w:tcPr>
          <w:p>
            <w:r>
              <w:t xml:space="preserve"/>
            </w:r>
          </w:p>
        </w:tc>
      </w:tr>
      <w:tr>
        <w:tc>
          <w:tcPr>
            <w:tcW w:w="2400" w:type="dxa"/>
          </w:tcPr>
          <w:p>
            <w:r>
              <w:t xml:space="preserve">Final findings</w:t>
            </w:r>
          </w:p>
        </w:tc>
        <w:tc>
          <w:tcPr>
            <w:tcW w:w="2400" w:type="dxa"/>
          </w:tcPr>
          <w:p>
            <w:r>
              <w:t xml:space="preserve"/>
            </w:r>
          </w:p>
        </w:tc>
      </w:tr>
    </w:tbl>
    <w:p>
      <w:r>
        <w:t xml:space="preserve">After verification of discrepancies the Supplier or the Mediator acting in agreement with the Supplier shall indicate the method of settlement. The decision may include, in particular, a correction of the report, a correction of the stock, recognition of sales, recognition of return, recognition of claims, issuing an invoice, correction of invoice, obligation to return the product, completion of documents or withdrawal of the settlement if the difference has been clarified.</w:t>
      </w:r>
    </w:p>
    <w:tbl>
      <w:tblPr>
        <w:tblW w:w="0" w:type="auto"/>
        <w:tblBorders>
          <w:top w:val="single" w:sz="4"/>
          <w:left w:val="single" w:sz="4"/>
          <w:bottom w:val="single" w:sz="4"/>
          <w:right w:val="single" w:sz="4"/>
          <w:insideH w:val="single" w:sz="4"/>
          <w:insideV w:val="single" w:sz="4"/>
        </w:tblBorders>
      </w:tblPr>
      <w:tr>
        <w:tc>
          <w:tcPr>
            <w:tcW w:w="2400" w:type="dxa"/>
          </w:tcPr>
          <w:p>
            <w:r>
              <w:t xml:space="preserve">Decision</w:t>
            </w:r>
          </w:p>
        </w:tc>
        <w:tc>
          <w:tcPr>
            <w:tcW w:w="2400" w:type="dxa"/>
          </w:tcPr>
          <w:p>
            <w:r>
              <w:t xml:space="preserve">YES/NO</w:t>
            </w:r>
          </w:p>
        </w:tc>
        <w:tc>
          <w:tcPr>
            <w:tcW w:w="2400" w:type="dxa"/>
          </w:tcPr>
          <w:p>
            <w:r>
              <w:t xml:space="preserve">Value / quantity</w:t>
            </w:r>
          </w:p>
        </w:tc>
        <w:tc>
          <w:tcPr>
            <w:tcW w:w="2400" w:type="dxa"/>
          </w:tcPr>
          <w:p>
            <w:r>
              <w:t xml:space="preserve">Remarks</w:t>
            </w:r>
          </w:p>
        </w:tc>
      </w:tr>
      <w:tr>
        <w:tc>
          <w:tcPr>
            <w:tcW w:w="2400" w:type="dxa"/>
          </w:tcPr>
          <w:p>
            <w:r>
              <w:t xml:space="preserve">Correction of the report / state</w:t>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Invoice / clearing note</w:t>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Product return / receipt</w:t>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No further action</w:t>
            </w:r>
          </w:p>
        </w:tc>
        <w:tc>
          <w:tcPr>
            <w:tcW w:w="2400" w:type="dxa"/>
          </w:tcPr>
          <w:p>
            <w:r>
              <w:t xml:space="preserve"/>
            </w:r>
          </w:p>
        </w:tc>
        <w:tc>
          <w:tcPr>
            <w:tcW w:w="2400" w:type="dxa"/>
          </w:tcPr>
          <w:p>
            <w:r>
              <w:t xml:space="preserve"/>
            </w:r>
          </w:p>
        </w:tc>
        <w:tc>
          <w:tcPr>
            <w:tcW w:w="2400" w:type="dxa"/>
          </w:tcPr>
          <w:p>
            <w:r>
              <w:t xml:space="preserve"/>
            </w:r>
          </w:p>
        </w:tc>
      </w:tr>
    </w:tbl>
    <w:p>
      <w:r>
        <w:t xml:space="preserve">The Partner confirms that he has taken note of the content of this Protocol and that the data indicated therein will be the basis for further verification and possible settlement of discrepancies in accordance with the FIXON Partnership Programme and related documents.</w:t>
      </w:r>
    </w:p>
    <w:p>
      <w:r>
        <w:t xml:space="preserve">If the Partner disagrees with the whole or part of the Protocol, he or she should indicate reservations in a place reserved for comments or make them subject to the procedure set out in the reservation clause.</w:t>
      </w:r>
    </w:p>
    <w:p>
      <w:r>
        <w:t xml:space="preserve">Reservations to this document may be notified within 7 days of its delivery. The absence of reservations within this deadline means the adoption of a document for information and use in the framework of current cooperation in the FIXON Partnership Programme. In the event of a statement of objections, the document shall not be adopted in the absence of any objection to the scope covered by the declaration, and the final agreed version shall be approved by both Parties in the form of personal signatures or electronic signatures accepted by the Parties, unless otherwise agreed by the Parties in document correspondence.</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 / FIXON</w:t>
            </w:r>
          </w:p>
        </w:tc>
        <w:tc>
          <w:tcPr>
            <w:tcW w:w="2400" w:type="dxa"/>
          </w:tcPr>
          <w:p>
            <w:r>
              <w:t xml:space="preserve">Partner</w:t>
            </w:r>
          </w:p>
        </w:tc>
        <w:tc>
          <w:tcPr>
            <w:tcW w:w="2400" w:type="dxa"/>
          </w:tcPr>
          <w:p>
            <w:r>
              <w:t xml:space="preserve">Mediator</w:t>
            </w:r>
          </w:p>
        </w:tc>
      </w:tr>
      <w:tr>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
            </w:r>
          </w:p>
        </w:tc>
        <w:tc>
          <w:tcPr>
            <w:tcW w:w="2400" w:type="dxa"/>
          </w:tcPr>
          <w:p>
            <w:r>
              <w:t xml:space="preserve"/>
            </w:r>
          </w:p>
        </w:tc>
        <w:tc>
          <w:tcPr>
            <w:tcW w:w="2400" w:type="dxa"/>
          </w:tcPr>
          <w:p>
            <w:r>
              <w:t xml:space="preserve"/>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