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Appendix: Display Standards</w:t>
      </w:r>
    </w:p>
    <w:p>
      <w:r>
        <w:t xml:space="preserve">FIXON product exposure rules at the point of sale and the Partner channel.</w:t>
      </w:r>
    </w:p>
    <w:p>
      <w:r>
        <w:t xml:space="preserve">The document sets out the minimum rules for presentation of products, test tools, marketing materials, indications and information elements of FIXON with the Partner under the FIXON Partner Programme.</w:t>
      </w:r>
    </w:p>
    <w:tbl>
      <w:tblPr>
        <w:tblW w:w="0" w:type="auto"/>
        <w:tblBorders>
          <w:top w:val="single" w:sz="4"/>
          <w:left w:val="single" w:sz="4"/>
          <w:bottom w:val="single" w:sz="4"/>
          <w:right w:val="single" w:sz="4"/>
          <w:insideH w:val="single" w:sz="4"/>
          <w:insideV w:val="single" w:sz="4"/>
        </w:tblBorders>
      </w:tblPr>
      <w:tr>
        <w:tc>
          <w:tcPr>
            <w:tcW w:w="2400" w:type="dxa"/>
          </w:tcPr>
          <w:p>
            <w:r>
              <w:t xml:space="preserve">Partner</w:t>
            </w:r>
          </w:p>
        </w:tc>
        <w:tc>
          <w:tcPr>
            <w:tcW w:w="2400" w:type="dxa"/>
          </w:tcPr>
          <w:p>
            <w:r>
              <w:t xml:space="preserve">........................................................</w:t>
            </w:r>
          </w:p>
        </w:tc>
      </w:tr>
      <w:tr>
        <w:tc>
          <w:tcPr>
            <w:tcW w:w="2400" w:type="dxa"/>
          </w:tcPr>
          <w:p>
            <w:r>
              <w:t xml:space="preserve">Location / location of the exposure</w:t>
            </w:r>
          </w:p>
        </w:tc>
        <w:tc>
          <w:tcPr>
            <w:tcW w:w="2400" w:type="dxa"/>
          </w:tcPr>
          <w:p>
            <w:r>
              <w:t xml:space="preserve">........................................................</w:t>
            </w:r>
          </w:p>
        </w:tc>
      </w:tr>
      <w:tr>
        <w:tc>
          <w:tcPr>
            <w:tcW w:w="2400" w:type="dxa"/>
          </w:tcPr>
          <w:p>
            <w:r>
              <w:t xml:space="preserve">Date of transmission/update of standards</w:t>
            </w:r>
          </w:p>
        </w:tc>
        <w:tc>
          <w:tcPr>
            <w:tcW w:w="2400" w:type="dxa"/>
          </w:tcPr>
          <w:p>
            <w:r>
              <w:t xml:space="preserve">........................................................</w:t>
            </w:r>
          </w:p>
        </w:tc>
      </w:tr>
      <w:tr>
        <w:tc>
          <w:tcPr>
            <w:tcW w:w="2400" w:type="dxa"/>
          </w:tcPr>
          <w:p>
            <w:r>
              <w:t xml:space="preserve">Document version</w:t>
            </w:r>
          </w:p>
        </w:tc>
        <w:tc>
          <w:tcPr>
            <w:tcW w:w="2400" w:type="dxa"/>
          </w:tcPr>
          <w:p>
            <w:r>
              <w:t xml:space="preserve">........................................................</w:t>
            </w:r>
          </w:p>
        </w:tc>
      </w:tr>
      <w:tr>
        <w:tc>
          <w:tcPr>
            <w:tcW w:w="2400" w:type="dxa"/>
          </w:tcPr>
          <w:p>
            <w:r>
              <w:t xml:space="preserve">Partner contact</w:t>
            </w:r>
          </w:p>
        </w:tc>
        <w:tc>
          <w:tcPr>
            <w:tcW w:w="2400" w:type="dxa"/>
          </w:tcPr>
          <w:p>
            <w:r>
              <w:t xml:space="preserve">........................................................</w:t>
            </w:r>
          </w:p>
        </w:tc>
      </w:tr>
    </w:tbl>
    <w:p>
      <w:r>
        <w:t xml:space="preserve">The FIXON exhibition is intended to enable the Partner to actively present products to end customers, contractors, traders, tabloid and construction teams and decision makers responsible for purchasing tools.</w:t>
      </w:r>
    </w:p>
    <w:p>
      <w:r>
        <w:t xml:space="preserve">The purpose of the exposure is to show the practical use of products, shorten the sales process, facilitate the demonstration of tool operation and direct the client to the right product, e-catalogue, order or FIXON Demonstration Centre.</w:t>
      </w:r>
    </w:p>
    <w:p>
      <w:r>
        <w:t xml:space="preserve">Exposure is not just a decorative element. It should be maintained in such a way as to allow real sale, demonstration and collection of feedback from the market.</w:t>
      </w:r>
    </w:p>
    <w:tbl>
      <w:tblPr>
        <w:tblW w:w="0" w:type="auto"/>
        <w:tblBorders>
          <w:top w:val="single" w:sz="4"/>
          <w:left w:val="single" w:sz="4"/>
          <w:bottom w:val="single" w:sz="4"/>
          <w:right w:val="single" w:sz="4"/>
          <w:insideH w:val="single" w:sz="4"/>
          <w:insideV w:val="single" w:sz="4"/>
        </w:tblBorders>
      </w:tblPr>
      <w:tr>
        <w:tc>
          <w:tcPr>
            <w:tcW w:w="2400" w:type="dxa"/>
          </w:tcPr>
          <w:p>
            <w:r>
              <w:t xml:space="preserve">Element</w:t>
            </w:r>
          </w:p>
        </w:tc>
        <w:tc>
          <w:tcPr>
            <w:tcW w:w="2400" w:type="dxa"/>
          </w:tcPr>
          <w:p>
            <w:r>
              <w:t xml:space="preserve">Standard required</w:t>
            </w:r>
          </w:p>
        </w:tc>
        <w:tc>
          <w:tcPr>
            <w:tcW w:w="2400" w:type="dxa"/>
          </w:tcPr>
          <w:p>
            <w:r>
              <w:t xml:space="preserve">Status / Remarks</w:t>
            </w:r>
          </w:p>
        </w:tc>
        <w:tc>
          <w:tcPr>
            <w:tcW w:w="2400" w:type="dxa"/>
          </w:tcPr>
          <w:p>
            <w:r>
              <w:t xml:space="preserve">Responsible</w:t>
            </w:r>
          </w:p>
        </w:tc>
      </w:tr>
      <w:tr>
        <w:tc>
          <w:tcPr>
            <w:tcW w:w="2400" w:type="dxa"/>
          </w:tcPr>
          <w:p>
            <w:r>
              <w:t xml:space="preserve">Physical products</w:t>
            </w:r>
          </w:p>
        </w:tc>
        <w:tc>
          <w:tcPr>
            <w:tcW w:w="2400" w:type="dxa"/>
          </w:tcPr>
          <w:p>
            <w:r>
              <w:t xml:space="preserve">Selected products according to the Partner Card, Pricelist, Product Status or Transfer Protocol.</w:t>
            </w:r>
          </w:p>
        </w:tc>
        <w:tc>
          <w:tcPr>
            <w:tcW w:w="2400" w:type="dxa"/>
          </w:tcPr>
          <w:p>
            <w:r>
              <w:t xml:space="preserve">................................</w:t>
            </w:r>
          </w:p>
        </w:tc>
        <w:tc>
          <w:tcPr>
            <w:tcW w:w="2400" w:type="dxa"/>
          </w:tcPr>
          <w:p>
            <w:r>
              <w:t xml:space="preserve">Partner</w:t>
            </w:r>
          </w:p>
        </w:tc>
      </w:tr>
      <w:tr>
        <w:tc>
          <w:tcPr>
            <w:tcW w:w="2400" w:type="dxa"/>
          </w:tcPr>
          <w:p>
            <w:r>
              <w:t xml:space="preserve">Test tool</w:t>
            </w:r>
          </w:p>
        </w:tc>
        <w:tc>
          <w:tcPr>
            <w:tcW w:w="2400" w:type="dxa"/>
          </w:tcPr>
          <w:p>
            <w:r>
              <w:t xml:space="preserve">Stored in a state that allows demonstration; normal wear acceptable.</w:t>
            </w:r>
          </w:p>
        </w:tc>
        <w:tc>
          <w:tcPr>
            <w:tcW w:w="2400" w:type="dxa"/>
          </w:tcPr>
          <w:p>
            <w:r>
              <w:t xml:space="preserve">................................</w:t>
            </w:r>
          </w:p>
        </w:tc>
        <w:tc>
          <w:tcPr>
            <w:tcW w:w="2400" w:type="dxa"/>
          </w:tcPr>
          <w:p>
            <w:r>
              <w:t xml:space="preserve">Partner</w:t>
            </w:r>
          </w:p>
        </w:tc>
      </w:tr>
      <w:tr>
        <w:tc>
          <w:tcPr>
            <w:tcW w:w="2400" w:type="dxa"/>
          </w:tcPr>
          <w:p>
            <w:r>
              <w:t xml:space="preserve">Printed materials</w:t>
            </w:r>
          </w:p>
        </w:tc>
        <w:tc>
          <w:tcPr>
            <w:tcW w:w="2400" w:type="dxa"/>
          </w:tcPr>
          <w:p>
            <w:r>
              <w:t xml:space="preserve">Catalogues, product cards, leaflets or other materials supplied by FIXON.</w:t>
            </w:r>
          </w:p>
        </w:tc>
        <w:tc>
          <w:tcPr>
            <w:tcW w:w="2400" w:type="dxa"/>
          </w:tcPr>
          <w:p>
            <w:r>
              <w:t xml:space="preserve">................................</w:t>
            </w:r>
          </w:p>
        </w:tc>
        <w:tc>
          <w:tcPr>
            <w:tcW w:w="2400" w:type="dxa"/>
          </w:tcPr>
          <w:p>
            <w:r>
              <w:t xml:space="preserve">Partner</w:t>
            </w:r>
          </w:p>
        </w:tc>
      </w:tr>
      <w:tr>
        <w:tc>
          <w:tcPr>
            <w:tcW w:w="2400" w:type="dxa"/>
          </w:tcPr>
          <w:p>
            <w:r>
              <w:t xml:space="preserve">Markings</w:t>
            </w:r>
          </w:p>
        </w:tc>
        <w:tc>
          <w:tcPr>
            <w:tcW w:w="2400" w:type="dxa"/>
          </w:tcPr>
          <w:p>
            <w:r>
              <w:t xml:space="preserve">Logo, stickers, plaques, banners or rolls according to FIXON brand policy.</w:t>
            </w:r>
          </w:p>
        </w:tc>
        <w:tc>
          <w:tcPr>
            <w:tcW w:w="2400" w:type="dxa"/>
          </w:tcPr>
          <w:p>
            <w:r>
              <w:t xml:space="preserve">................................</w:t>
            </w:r>
          </w:p>
        </w:tc>
        <w:tc>
          <w:tcPr>
            <w:tcW w:w="2400" w:type="dxa"/>
          </w:tcPr>
          <w:p>
            <w:r>
              <w:t xml:space="preserve">Partner</w:t>
            </w:r>
          </w:p>
        </w:tc>
      </w:tr>
      <w:tr>
        <w:tc>
          <w:tcPr>
            <w:tcW w:w="2400" w:type="dxa"/>
          </w:tcPr>
          <w:p>
            <w:r>
              <w:t xml:space="preserve">QR / e-catalogue</w:t>
            </w:r>
          </w:p>
        </w:tc>
        <w:tc>
          <w:tcPr>
            <w:tcW w:w="2400" w:type="dxa"/>
          </w:tcPr>
          <w:p>
            <w:r>
              <w:t xml:space="preserve">QR code or link to e-catalogue visible at exposure or available to traders.</w:t>
            </w:r>
          </w:p>
        </w:tc>
        <w:tc>
          <w:tcPr>
            <w:tcW w:w="2400" w:type="dxa"/>
          </w:tcPr>
          <w:p>
            <w:r>
              <w:t xml:space="preserve">................................</w:t>
            </w:r>
          </w:p>
        </w:tc>
        <w:tc>
          <w:tcPr>
            <w:tcW w:w="2400" w:type="dxa"/>
          </w:tcPr>
          <w:p>
            <w:r>
              <w:t xml:space="preserve">Partner</w:t>
            </w:r>
          </w:p>
        </w:tc>
      </w:tr>
      <w:tr>
        <w:tc>
          <w:tcPr>
            <w:tcW w:w="2400" w:type="dxa"/>
          </w:tcPr>
          <w:p>
            <w:r>
              <w:t xml:space="preserve">Commercial information</w:t>
            </w:r>
          </w:p>
        </w:tc>
        <w:tc>
          <w:tcPr>
            <w:tcW w:w="2400" w:type="dxa"/>
          </w:tcPr>
          <w:p>
            <w:r>
              <w:t xml:space="preserve">Current information on prices, availability, delivery and delivery dates.</w:t>
            </w:r>
          </w:p>
        </w:tc>
        <w:tc>
          <w:tcPr>
            <w:tcW w:w="2400" w:type="dxa"/>
          </w:tcPr>
          <w:p>
            <w:r>
              <w:t xml:space="preserve">................................</w:t>
            </w:r>
          </w:p>
        </w:tc>
        <w:tc>
          <w:tcPr>
            <w:tcW w:w="2400" w:type="dxa"/>
          </w:tcPr>
          <w:p>
            <w:r>
              <w:t xml:space="preserve">Partner / Mediator</w:t>
            </w:r>
          </w:p>
        </w:tc>
      </w:tr>
    </w:tbl>
    <w:p>
      <w:r>
        <w:t xml:space="preserve">FIXON products should be presented in a place visible to customers, traders or sales agents, with the possibility of quickly showing the tool operation or directing the customer to the appropriate information material.</w:t>
      </w:r>
    </w:p>
    <w:p>
      <w:r>
        <w:t xml:space="preserve">Exposure, demonstration and test products should be kept clean, orderly and safe for users. Normal wear due to presentations, tests and demonstrations is acceptable.</w:t>
      </w:r>
    </w:p>
    <w:p>
      <w:r>
        <w:t xml:space="preserve">The partner should not mix FIXON markings with markings of other brands in such a way as to mislead the customer about the manufacturer, the origin of the product, the scope of the warranty or the terms of the sale.</w:t>
      </w:r>
    </w:p>
    <w:p>
      <w:r>
        <w:t xml:space="preserve">Marketing materials and markings provided to the Partner remain intended for the presentation of FIXON products and cannot be used to promote competing products or to communicate contrary to FIXON Brand Policy.</w:t>
      </w:r>
    </w:p>
    <w:p>
      <w:r>
        <w:t xml:space="preserve">The actuality of information on prices, availability and delivery dates should be verified by the Partner on the basis of the current Catalogue Pricelist, Product Status, e-catalogue or information provided by the Mediator or Supplier.</w:t>
      </w:r>
    </w:p>
    <w:p>
      <w:r>
        <w:t xml:space="preserve">The partner may prepare his own photographs, films, graphics, descriptions, posts, commercial offers or other promotional material for FIXON products, provided that they comply with the FIXON Brand Policy, do not mislead and do not violate the brand value.</w:t>
      </w:r>
    </w:p>
    <w:p>
      <w:r>
        <w:t xml:space="preserve">Partner's own materials require acceptance of the Supplier or Mediator if they include comparisons with competition, technical declarations, specific commercial promises, custom logo use or communications that can affect the way FIXON brand is perceived.</w:t>
      </w:r>
    </w:p>
    <w:p>
      <w:r>
        <w:t xml:space="preserve">Once accepted material or campaign can be reused without separate acceptance if their content, meaning, graphics, trading conditions and publication context have not been substantially changed.</w:t>
      </w:r>
    </w:p>
    <w:p>
      <w:r>
        <w:t xml:space="preserve">The Supplier or Mediator may request the Partner to send pictures of the exposure, confirm the presence of the materials, update the markings, supplement the QR codes, delete outdated information or change the presentation of the products.</w:t>
      </w:r>
    </w:p>
    <w:p>
      <w:r>
        <w:t xml:space="preserve">The verification of the exposure should be carried out in an excessive manner to maintain the consistency of the sale, the news and the protection of FIXON brand.</w:t>
      </w:r>
    </w:p>
    <w:p>
      <w:r>
        <w:t xml:space="preserve">If significant irregularities are found, the Partner should remove them within the time limit indicated by the Supplier or the Mediator, taking into account the nature of the irregularities and organisational capabilities of the facility.</w:t>
      </w:r>
    </w:p>
    <w:p>
      <w:r>
        <w:t xml:space="preserve">The Partner may object to this document within 7 days of its delivery. The absence of reservations within this deadline means the adoption of a document for information and use in the framework of current cooperation in the FIXON Partnership Programme. If the Partner raises objections, the Parties shall clarify the content of the document, remove discrepancies or prepare the final agreed version of the document. The final version of the document to which reservations have been made shall be approved by both Parties in the form of personal signatures or electronic signatures accepted by the Parties, unless otherwise agreed by the Parties in document correspondence.</w:t>
      </w:r>
    </w:p>
    <w:tbl>
      <w:tblPr>
        <w:tblW w:w="0" w:type="auto"/>
        <w:tblBorders>
          <w:top w:val="single" w:sz="4"/>
          <w:left w:val="single" w:sz="4"/>
          <w:bottom w:val="single" w:sz="4"/>
          <w:right w:val="single" w:sz="4"/>
          <w:insideH w:val="single" w:sz="4"/>
          <w:insideV w:val="single" w:sz="4"/>
        </w:tblBorders>
      </w:tblPr>
      <w:tr>
        <w:tc>
          <w:tcPr>
            <w:tcW w:w="2400" w:type="dxa"/>
          </w:tcPr>
          <w:p>
            <w:r>
              <w:t xml:space="preserve">Supplier / Mediator</w:t>
            </w:r>
          </w:p>
        </w:tc>
        <w:tc>
          <w:tcPr>
            <w:tcW w:w="2400" w:type="dxa"/>
          </w:tcPr>
          <w:p>
            <w:r>
              <w:t xml:space="preserve">Partner</w:t>
            </w:r>
          </w:p>
        </w:tc>
        <w:tc>
          <w:tcPr>
            <w:tcW w:w="2400" w:type="dxa"/>
          </w:tcPr>
          <w:p>
            <w:r>
              <w:t xml:space="preserve">Date</w:t>
            </w:r>
          </w:p>
        </w:tc>
      </w:tr>
      <w:tr>
        <w:tc>
          <w:tcPr>
            <w:tcW w:w="2400" w:type="dxa"/>
          </w:tcPr>
          <w:p>
            <w:r>
              <w:t xml:space="preserve">................................</w:t>
            </w:r>
          </w:p>
        </w:tc>
        <w:tc>
          <w:tcPr>
            <w:tcW w:w="2400" w:type="dxa"/>
          </w:tcPr>
          <w:p>
            <w:r>
              <w:t xml:space="preserve">................................</w:t>
            </w:r>
          </w:p>
        </w:tc>
        <w:tc>
          <w:tcPr>
            <w:tcW w:w="2400" w:type="dxa"/>
          </w:tcPr>
          <w:p>
            <w:r>
              <w:t xml:space="preserve">................................</w:t>
            </w:r>
          </w:p>
        </w:tc>
      </w:tr>
      <w:tr>
        <w:tc>
          <w:tcPr>
            <w:tcW w:w="2400" w:type="dxa"/>
          </w:tcPr>
          <w:p>
            <w:r>
              <w:t xml:space="preserve">................................</w:t>
            </w:r>
          </w:p>
        </w:tc>
        <w:tc>
          <w:tcPr>
            <w:tcW w:w="2400" w:type="dxa"/>
          </w:tcPr>
          <w:p>
            <w:r>
              <w:t xml:space="preserve">................................</w:t>
            </w:r>
          </w:p>
        </w:tc>
        <w:tc>
          <w:tcPr>
            <w:tcW w:w="2400" w:type="dxa"/>
          </w:tcPr>
          <w:p>
            <w:r>
              <w:t xml:space="preserve">................................</w:t>
            </w:r>
          </w:p>
        </w:tc>
      </w:tr>
    </w:tbl>
    <w:p>
      <w:r>
        <w:t xml:space="preserve">DOCX template is used for operational work and PDF for shipping or archiving.</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