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23C" w:rsidRDefault="00FF09E5" w:rsidP="009B0224">
      <w:pPr>
        <w:ind w:firstLine="720"/>
        <w:jc w:val="both"/>
        <w:rPr>
          <w:rFonts w:ascii="Arial" w:hAnsi="Arial" w:cs="Arial"/>
        </w:rPr>
      </w:pPr>
      <w:r>
        <w:rPr>
          <w:rFonts w:ascii="Arial" w:hAnsi="Arial" w:cs="Arial"/>
        </w:rPr>
        <w:t xml:space="preserve">Misfolded protein aggregate conditions, such as </w:t>
      </w:r>
      <w:r w:rsidR="009B0224">
        <w:rPr>
          <w:rFonts w:ascii="Arial" w:hAnsi="Arial" w:cs="Arial"/>
        </w:rPr>
        <w:t xml:space="preserve">Parkinson’s disease (PD) and </w:t>
      </w:r>
      <w:r w:rsidR="00FC0ED1">
        <w:rPr>
          <w:rFonts w:ascii="Arial" w:hAnsi="Arial" w:cs="Arial"/>
        </w:rPr>
        <w:t>Alzheimer</w:t>
      </w:r>
      <w:r>
        <w:rPr>
          <w:rFonts w:ascii="Arial" w:hAnsi="Arial" w:cs="Arial"/>
        </w:rPr>
        <w:t>’s disease (AD), are challenging to treat because the molecular mechanisms of the protein assembly and degradation are poorly understood.</w:t>
      </w:r>
      <w:r w:rsidR="004F14A1">
        <w:rPr>
          <w:rFonts w:ascii="Arial" w:hAnsi="Arial" w:cs="Arial"/>
        </w:rPr>
        <w:t xml:space="preserve"> To effectively treat these conditions, </w:t>
      </w:r>
      <w:r w:rsidR="00F5631C">
        <w:rPr>
          <w:rFonts w:ascii="Arial" w:hAnsi="Arial" w:cs="Arial"/>
        </w:rPr>
        <w:t xml:space="preserve">we need to </w:t>
      </w:r>
      <w:r w:rsidR="00BE134B">
        <w:rPr>
          <w:rFonts w:ascii="Arial" w:hAnsi="Arial" w:cs="Arial"/>
        </w:rPr>
        <w:t>understand</w:t>
      </w:r>
      <w:r w:rsidR="00F5631C">
        <w:rPr>
          <w:rFonts w:ascii="Arial" w:hAnsi="Arial" w:cs="Arial"/>
        </w:rPr>
        <w:t xml:space="preserve"> both </w:t>
      </w:r>
      <w:r w:rsidR="00533095">
        <w:rPr>
          <w:rFonts w:ascii="Arial" w:hAnsi="Arial" w:cs="Arial"/>
        </w:rPr>
        <w:t>a</w:t>
      </w:r>
      <w:r w:rsidR="00BE134B">
        <w:rPr>
          <w:rFonts w:ascii="Arial" w:hAnsi="Arial" w:cs="Arial"/>
        </w:rPr>
        <w:t xml:space="preserve"> structural</w:t>
      </w:r>
      <w:r w:rsidR="00F5631C">
        <w:rPr>
          <w:rFonts w:ascii="Arial" w:hAnsi="Arial" w:cs="Arial"/>
        </w:rPr>
        <w:t xml:space="preserve"> means of aggregate recognition, out of a complex biological environment, and </w:t>
      </w:r>
      <w:r w:rsidR="00533095">
        <w:rPr>
          <w:rFonts w:ascii="Arial" w:hAnsi="Arial" w:cs="Arial"/>
        </w:rPr>
        <w:t>a</w:t>
      </w:r>
      <w:r w:rsidR="00F5631C">
        <w:rPr>
          <w:rFonts w:ascii="Arial" w:hAnsi="Arial" w:cs="Arial"/>
        </w:rPr>
        <w:t xml:space="preserve"> </w:t>
      </w:r>
      <w:r w:rsidR="00BE134B">
        <w:rPr>
          <w:rFonts w:ascii="Arial" w:hAnsi="Arial" w:cs="Arial"/>
        </w:rPr>
        <w:t xml:space="preserve">chemical </w:t>
      </w:r>
      <w:r w:rsidR="00F5631C">
        <w:rPr>
          <w:rFonts w:ascii="Arial" w:hAnsi="Arial" w:cs="Arial"/>
        </w:rPr>
        <w:t>means of effecting their dissolution.</w:t>
      </w:r>
      <w:r>
        <w:rPr>
          <w:rFonts w:ascii="Arial" w:hAnsi="Arial" w:cs="Arial"/>
        </w:rPr>
        <w:t xml:space="preserve"> Fortunately, </w:t>
      </w:r>
      <w:r w:rsidR="007B0AC1">
        <w:rPr>
          <w:rFonts w:ascii="Arial" w:hAnsi="Arial" w:cs="Arial"/>
        </w:rPr>
        <w:t>nov</w:t>
      </w:r>
      <w:r w:rsidR="00FC0ED1">
        <w:rPr>
          <w:rFonts w:ascii="Arial" w:hAnsi="Arial" w:cs="Arial"/>
        </w:rPr>
        <w:t xml:space="preserve">el methods have in recent </w:t>
      </w:r>
      <w:proofErr w:type="gramStart"/>
      <w:r w:rsidR="00FC0ED1">
        <w:rPr>
          <w:rFonts w:ascii="Arial" w:hAnsi="Arial" w:cs="Arial"/>
        </w:rPr>
        <w:t>years</w:t>
      </w:r>
      <w:proofErr w:type="gramEnd"/>
      <w:r w:rsidR="00FC0ED1">
        <w:rPr>
          <w:rFonts w:ascii="Arial" w:hAnsi="Arial" w:cs="Arial"/>
        </w:rPr>
        <w:t xml:space="preserve"> </w:t>
      </w:r>
      <w:r w:rsidR="007B0AC1">
        <w:rPr>
          <w:rFonts w:ascii="Arial" w:hAnsi="Arial" w:cs="Arial"/>
        </w:rPr>
        <w:t>yielded greater structural clarity</w:t>
      </w:r>
      <w:r>
        <w:rPr>
          <w:rFonts w:ascii="Arial" w:hAnsi="Arial" w:cs="Arial"/>
        </w:rPr>
        <w:t xml:space="preserve">. </w:t>
      </w:r>
      <w:r w:rsidR="00D7723C">
        <w:rPr>
          <w:rFonts w:ascii="Arial" w:hAnsi="Arial" w:cs="Arial"/>
        </w:rPr>
        <w:t xml:space="preserve">Combining the available structural data, experimentally derived information about molecular behavior, and computational modeling, we are now poised to complete the picture. </w:t>
      </w:r>
    </w:p>
    <w:p w:rsidR="009B0224" w:rsidRDefault="00D7723C" w:rsidP="00D7723C">
      <w:pPr>
        <w:ind w:firstLine="720"/>
        <w:jc w:val="both"/>
        <w:rPr>
          <w:rFonts w:ascii="Arial" w:hAnsi="Arial" w:cs="Arial"/>
        </w:rPr>
      </w:pPr>
      <w:r>
        <w:rPr>
          <w:rFonts w:ascii="Arial" w:hAnsi="Arial" w:cs="Arial"/>
        </w:rPr>
        <w:t>S</w:t>
      </w:r>
      <w:r w:rsidR="00FC0ED1">
        <w:rPr>
          <w:rFonts w:ascii="Arial" w:hAnsi="Arial" w:cs="Arial"/>
        </w:rPr>
        <w:t xml:space="preserve">everal important </w:t>
      </w:r>
      <w:r w:rsidR="00FF09E5">
        <w:rPr>
          <w:rFonts w:ascii="Arial" w:hAnsi="Arial" w:cs="Arial"/>
        </w:rPr>
        <w:t>fibri</w:t>
      </w:r>
      <w:r w:rsidR="00BE134B">
        <w:rPr>
          <w:rFonts w:ascii="Arial" w:hAnsi="Arial" w:cs="Arial"/>
        </w:rPr>
        <w:t>l</w:t>
      </w:r>
      <w:r w:rsidR="00FF09E5">
        <w:rPr>
          <w:rFonts w:ascii="Arial" w:hAnsi="Arial" w:cs="Arial"/>
        </w:rPr>
        <w:t xml:space="preserve"> structures have</w:t>
      </w:r>
      <w:r w:rsidR="00F5631C">
        <w:rPr>
          <w:rFonts w:ascii="Arial" w:hAnsi="Arial" w:cs="Arial"/>
        </w:rPr>
        <w:t xml:space="preserve"> now</w:t>
      </w:r>
      <w:r w:rsidR="00FF09E5">
        <w:rPr>
          <w:rFonts w:ascii="Arial" w:hAnsi="Arial" w:cs="Arial"/>
        </w:rPr>
        <w:t xml:space="preserve"> been determined. The structure of </w:t>
      </w:r>
      <w:r w:rsidR="00FF09E5" w:rsidRPr="00FF09E5">
        <w:rPr>
          <w:rFonts w:ascii="Arial" w:hAnsi="Arial" w:cs="Arial"/>
        </w:rPr>
        <w:t>α-</w:t>
      </w:r>
      <w:proofErr w:type="spellStart"/>
      <w:r w:rsidR="00FF09E5" w:rsidRPr="00FF09E5">
        <w:rPr>
          <w:rFonts w:ascii="Arial" w:hAnsi="Arial" w:cs="Arial"/>
        </w:rPr>
        <w:t>synuclein</w:t>
      </w:r>
      <w:proofErr w:type="spellEnd"/>
      <w:r w:rsidR="00FF09E5">
        <w:rPr>
          <w:rFonts w:ascii="Arial" w:hAnsi="Arial" w:cs="Arial"/>
        </w:rPr>
        <w:t>, implicated in PD, was resolved by solid state nuclear magnetic resonance (</w:t>
      </w:r>
      <w:proofErr w:type="spellStart"/>
      <w:r w:rsidR="00FF09E5">
        <w:rPr>
          <w:rFonts w:ascii="Arial" w:hAnsi="Arial" w:cs="Arial"/>
        </w:rPr>
        <w:t>ssNMR</w:t>
      </w:r>
      <w:proofErr w:type="spellEnd"/>
      <w:r w:rsidR="00FF09E5">
        <w:rPr>
          <w:rFonts w:ascii="Arial" w:hAnsi="Arial" w:cs="Arial"/>
        </w:rPr>
        <w:t>)</w:t>
      </w:r>
      <w:r w:rsidR="007B0AC1">
        <w:rPr>
          <w:rFonts w:ascii="Arial" w:hAnsi="Arial" w:cs="Arial"/>
        </w:rPr>
        <w:t xml:space="preserve"> in 2016</w:t>
      </w:r>
      <w:r>
        <w:rPr>
          <w:rFonts w:ascii="Arial" w:hAnsi="Arial" w:cs="Arial"/>
        </w:rPr>
        <w:fldChar w:fldCharType="begin" w:fldLock="1"/>
      </w:r>
      <w:r>
        <w:rPr>
          <w:rFonts w:ascii="Arial" w:hAnsi="Arial" w:cs="Arial"/>
        </w:rPr>
        <w:instrText>ADDIN CSL_CITATION { "citationItems" : [ { "id" : "ITEM-1", "itemData" : { "DOI" : "10.1038/nsmb.3194", "ISBN" : "1545-9985 (Electronic)\\r1545-9985 (Linking)", "ISSN" : "15459985", "PMID" : "27018801", "abstract" : "Misfolded [alpha]-synuclein amyloid fibrils are the principal components of Lewy bodies and neurites, hallmarks of Parkinson's disease (PD). We present a high-resolution structure of an [alpha]-synuclein fibril, in a form that induces robust pathology in primary neuronal culture, determined by solid-state NMR spectroscopy and validated by EM and X-ray fiber diffraction. Over 200 unique long-range distance restraints define a consensus structure with common amyloid features including parallel, in-register [beta]-sheets and hydrophobic-core residues, and with substantial complexity arising from diverse structural features including an intermolecular salt bridge, a glutamine ladder, close backbone interactions involving small residues, and several steric zippers stabilizing a new orthogonal Greek-key topology. These characteristics contribute to the robust propagation of this fibril form, as supported by the structural similarity of early-onset-PD mutants. The structure provides a framework for understanding the interactions of [alpha]-synuclein with other proteins and small molecules, to aid in PD diagnosis and treatment.", "author" : [ { "dropping-particle" : "", "family" : "Tuttle", "given" : "Marcus D", "non-dropping-particle" : "", "parse-names" : false, "suffix" : "" }, { "dropping-particle" : "", "family" : "Comellas", "given" : "Gemma", "non-dropping-particle" : "", "parse-names" : false, "suffix" : "" }, { "dropping-particle" : "", "family" : "Nieuwkoop", "given" : "Andrew J", "non-dropping-particle" : "", "parse-names" : false, "suffix" : "" }, { "dropping-particle" : "", "family" : "Covell", "given" : "Dustin J", "non-dropping-particle" : "", "parse-names" : false, "suffix" : "" }, { "dropping-particle" : "", "family" : "Berthold", "given" : "Deborah A", "non-dropping-particle" : "", "parse-names" : false, "suffix" : "" }, { "dropping-particle" : "", "family" : "Kloepper", "given" : "Kathryn D", "non-dropping-particle" : "", "parse-names" : false, "suffix" : "" }, { "dropping-particle" : "", "family" : "Courtney", "given" : "Joseph M", "non-dropping-particle" : "", "parse-names" : false, "suffix" : "" }, { "dropping-particle" : "", "family" : "Kim", "given" : "Jae K", "non-dropping-particle" : "", "parse-names" : false, "suffix" : "" }, { "dropping-particle" : "", "family" : "Barclay", "given" : "Alexander M", "non-dropping-particle" : "", "parse-names" : false, "suffix" : "" }, { "dropping-particle" : "", "family" : "Kendall", "given" : "Amy", "non-dropping-particle" : "", "parse-names" : false, "suffix" : "" }, { "dropping-particle" : "", "family" : "Wan", "given" : "William", "non-dropping-particle" : "", "parse-names" : false, "suffix" : "" }, { "dropping-particle" : "", "family" : "Stubbs", "given" : "Gerald", "non-dropping-particle" : "", "parse-names" : false, "suffix" : "" }, { "dropping-particle" : "", "family" : "Schwieters", "given" : "Charles D", "non-dropping-particle" : "", "parse-names" : false, "suffix" : "" }, { "dropping-particle" : "", "family" : "Lee", "given" : "Virginia M.Y.", "non-dropping-particle" : "", "parse-names" : false, "suffix" : "" }, { "dropping-particle" : "", "family" : "George", "given" : "Julia M", "non-dropping-particle" : "", "parse-names" : false, "suffix" : "" }, { "dropping-particle" : "", "family" : "Rienstra", "given" : "Chad M", "non-dropping-particle" : "", "parse-names" : false, "suffix" : "" } ], "container-title" : "Nature Structural and Molecular Biology", "id" : "ITEM-1", "issue" : "5", "issued" : { "date-parts" : [ [ "2016", "5", "28" ] ] }, "page" : "409-415", "publisher" : "Nature Publishing Group", "title" : "Solid-state NMR structure of a pathogenic fibril of full-length human \u03b1-synuclein", "type" : "article-journal", "volume" : "23" }, "uris" : [ "http://www.mendeley.com/documents/?uuid=24b1e4ee-d7b0-37b0-bfce-020da7b63119" ] } ], "mendeley" : { "formattedCitation" : "&lt;sup&gt;1&lt;/sup&gt;", "plainTextFormattedCitation" : "1", "previouslyFormattedCitation" : "&lt;sup&gt;1&lt;/sup&gt;" }, "properties" : { "noteIndex" : 0 }, "schema" : "https://github.com/citation-style-language/schema/raw/master/csl-citation.json" }</w:instrText>
      </w:r>
      <w:r>
        <w:rPr>
          <w:rFonts w:ascii="Arial" w:hAnsi="Arial" w:cs="Arial"/>
        </w:rPr>
        <w:fldChar w:fldCharType="separate"/>
      </w:r>
      <w:r w:rsidRPr="00D7723C">
        <w:rPr>
          <w:rFonts w:ascii="Arial" w:hAnsi="Arial" w:cs="Arial"/>
          <w:noProof/>
          <w:vertAlign w:val="superscript"/>
        </w:rPr>
        <w:t>1</w:t>
      </w:r>
      <w:r>
        <w:rPr>
          <w:rFonts w:ascii="Arial" w:hAnsi="Arial" w:cs="Arial"/>
        </w:rPr>
        <w:fldChar w:fldCharType="end"/>
      </w:r>
      <w:r w:rsidR="007B0AC1">
        <w:rPr>
          <w:rFonts w:ascii="Arial" w:hAnsi="Arial" w:cs="Arial"/>
        </w:rPr>
        <w:t>.</w:t>
      </w:r>
      <w:r w:rsidR="00FF09E5">
        <w:rPr>
          <w:rFonts w:ascii="Arial" w:hAnsi="Arial" w:cs="Arial"/>
        </w:rPr>
        <w:t xml:space="preserve"> </w:t>
      </w:r>
      <w:r w:rsidR="007B0AC1">
        <w:rPr>
          <w:rFonts w:ascii="Arial" w:hAnsi="Arial" w:cs="Arial"/>
        </w:rPr>
        <w:t>T</w:t>
      </w:r>
      <w:r w:rsidR="00FF09E5" w:rsidRPr="00FF09E5">
        <w:rPr>
          <w:rFonts w:ascii="Arial" w:hAnsi="Arial" w:cs="Arial"/>
        </w:rPr>
        <w:t>au</w:t>
      </w:r>
      <w:r w:rsidR="007B0AC1">
        <w:rPr>
          <w:rFonts w:ascii="Arial" w:hAnsi="Arial" w:cs="Arial"/>
        </w:rPr>
        <w:t xml:space="preserve"> protein</w:t>
      </w:r>
      <w:r w:rsidR="00FF09E5">
        <w:rPr>
          <w:rFonts w:ascii="Arial" w:hAnsi="Arial" w:cs="Arial"/>
        </w:rPr>
        <w:t xml:space="preserve">, implicated in AD, was </w:t>
      </w:r>
      <w:r w:rsidR="007B0AC1">
        <w:rPr>
          <w:rFonts w:ascii="Arial" w:hAnsi="Arial" w:cs="Arial"/>
        </w:rPr>
        <w:t>imaged</w:t>
      </w:r>
      <w:r w:rsidR="00FF09E5">
        <w:rPr>
          <w:rFonts w:ascii="Arial" w:hAnsi="Arial" w:cs="Arial"/>
        </w:rPr>
        <w:t xml:space="preserve"> in 2017 by </w:t>
      </w:r>
      <w:proofErr w:type="spellStart"/>
      <w:r w:rsidR="00FF09E5">
        <w:rPr>
          <w:rFonts w:ascii="Arial" w:hAnsi="Arial" w:cs="Arial"/>
        </w:rPr>
        <w:t>cryo</w:t>
      </w:r>
      <w:proofErr w:type="spellEnd"/>
      <w:r w:rsidR="00FF09E5">
        <w:rPr>
          <w:rFonts w:ascii="Arial" w:hAnsi="Arial" w:cs="Arial"/>
        </w:rPr>
        <w:t>-electron microscopy (</w:t>
      </w:r>
      <w:r w:rsidR="00FC0ED1">
        <w:rPr>
          <w:rFonts w:ascii="Arial" w:hAnsi="Arial" w:cs="Arial"/>
        </w:rPr>
        <w:t>C</w:t>
      </w:r>
      <w:r w:rsidR="00FF09E5">
        <w:rPr>
          <w:rFonts w:ascii="Arial" w:hAnsi="Arial" w:cs="Arial"/>
        </w:rPr>
        <w:t>EM)</w:t>
      </w:r>
      <w:r>
        <w:rPr>
          <w:rFonts w:ascii="Arial" w:hAnsi="Arial" w:cs="Arial"/>
        </w:rPr>
        <w:fldChar w:fldCharType="begin" w:fldLock="1"/>
      </w:r>
      <w:r w:rsidR="00533095">
        <w:rPr>
          <w:rFonts w:ascii="Arial" w:hAnsi="Arial" w:cs="Arial"/>
        </w:rPr>
        <w:instrText>ADDIN CSL_CITATION { "citationItems" : [ { "id" : "ITEM-1", "itemData" : { "DOI" : "10.1038/nature23002", "ISBN" : "0028-0836", "ISSN" : "14764687", "PMID" : "28678775", "abstract" : "Alzheimer's disease is the most common neurodegenerative disease, and there are no mechanism-based therapies. The disease is defined by the presence of abundant neurofibrillary lesions and neuritic plaques in the cerebral cortex. Neurofibrillary lesions comprise paired helical and straight tau filaments, whereas tau filaments with different morphologies characterize other neurodegenerative diseases. No high-resolution structures of tau filaments are available. Here we present cryo-electron microscopy (cryo-EM) maps at 3.4-3.5 \u00c5 resolution and corresponding atomic models of paired helical and straight filaments from the brain of an individual with Alzheimer's disease. Filament cores are made of two identical protofilaments comprising residues 306-378 of tau protein, which adopt a combined cross-\u03b2/\u03b2-helix structure and define the seed for tau aggregation. Paired helical and straight filaments differ in their inter-protofilament packing, showing that they are ultrastructural polymorphs. These findings demonstrate that cryo-EM allows atomic characterization of amyloid filaments from patient-derived material, and pave the way for investigation of a range of neurodegenerative diseases.", "author" : [ { "dropping-particle" : "", "family" : "Fitzpatrick", "given" : "Anthony W.P.", "non-dropping-particle" : "", "parse-names" : false, "suffix" : "" }, { "dropping-particle" : "", "family" : "Falcon", "given" : "Benjamin", "non-dropping-particle" : "", "parse-names" : false, "suffix" : "" }, { "dropping-particle" : "", "family" : "He", "given" : "Shaoda", "non-dropping-particle" : "", "parse-names" : false, "suffix" : "" }, { "dropping-particle" : "", "family" : "Murzin", "given" : "Alexey G", "non-dropping-particle" : "", "parse-names" : false, "suffix" : "" }, { "dropping-particle" : "", "family" : "Murshudov", "given" : "Garib", "non-dropping-particle" : "", "parse-names" : false, "suffix" : "" }, { "dropping-particle" : "", "family" : "Garringer", "given" : "Holly J", "non-dropping-particle" : "", "parse-names" : false, "suffix" : "" }, { "dropping-particle" : "", "family" : "Crowther", "given" : "R Anthony", "non-dropping-particle" : "", "parse-names" : false, "suffix" : "" }, { "dropping-particle" : "", "family" : "Ghetti", "given" : "Bernardino", "non-dropping-particle" : "", "parse-names" : false, "suffix" : "" }, { "dropping-particle" : "", "family" : "Goedert", "given" : "Michel", "non-dropping-particle" : "", "parse-names" : false, "suffix" : "" }, { "dropping-particle" : "", "family" : "Scheres", "given" : "Sjors H.W.", "non-dropping-particle" : "", "parse-names" : false, "suffix" : "" } ], "container-title" : "Nature", "id" : "ITEM-1", "issue" : "7662", "issued" : { "date-parts" : [ [ "2017" ] ] }, "page" : "185-190", "publisher" : "NIH Public Access", "title" : "Cryo-EM structures of tau filaments from Alzheimer's disease", "type" : "article-journal", "volume" : "547" }, "uris" : [ "http://www.mendeley.com/documents/?uuid=5c8da904-0332-3c62-a1c8-095ac34b1cf4" ] } ], "mendeley" : { "formattedCitation" : "&lt;sup&gt;2&lt;/sup&gt;", "plainTextFormattedCitation" : "2", "previouslyFormattedCitation" : "&lt;sup&gt;2&lt;/sup&gt;" }, "properties" : { "noteIndex" : 0 }, "schema" : "https://github.com/citation-style-language/schema/raw/master/csl-citation.json" }</w:instrText>
      </w:r>
      <w:r>
        <w:rPr>
          <w:rFonts w:ascii="Arial" w:hAnsi="Arial" w:cs="Arial"/>
        </w:rPr>
        <w:fldChar w:fldCharType="separate"/>
      </w:r>
      <w:r w:rsidRPr="00D7723C">
        <w:rPr>
          <w:rFonts w:ascii="Arial" w:hAnsi="Arial" w:cs="Arial"/>
          <w:noProof/>
          <w:vertAlign w:val="superscript"/>
        </w:rPr>
        <w:t>2</w:t>
      </w:r>
      <w:r>
        <w:rPr>
          <w:rFonts w:ascii="Arial" w:hAnsi="Arial" w:cs="Arial"/>
        </w:rPr>
        <w:fldChar w:fldCharType="end"/>
      </w:r>
      <w:r w:rsidR="00FF09E5">
        <w:rPr>
          <w:rFonts w:ascii="Arial" w:hAnsi="Arial" w:cs="Arial"/>
        </w:rPr>
        <w:t>.</w:t>
      </w:r>
      <w:r>
        <w:rPr>
          <w:rFonts w:ascii="Arial" w:hAnsi="Arial" w:cs="Arial"/>
        </w:rPr>
        <w:t xml:space="preserve"> </w:t>
      </w:r>
      <w:r w:rsidR="00F5631C">
        <w:rPr>
          <w:rFonts w:ascii="Arial" w:hAnsi="Arial" w:cs="Arial"/>
        </w:rPr>
        <w:t xml:space="preserve">Meanwhile, a 2012 report identified a protein capable of </w:t>
      </w:r>
      <w:r w:rsidR="003822D7">
        <w:rPr>
          <w:rFonts w:ascii="Arial" w:hAnsi="Arial" w:cs="Arial"/>
        </w:rPr>
        <w:t>degrading tau fibrils, Htra1</w:t>
      </w:r>
      <w:r w:rsidR="008F6B23">
        <w:rPr>
          <w:rFonts w:ascii="Arial" w:hAnsi="Arial" w:cs="Arial"/>
        </w:rPr>
        <w:fldChar w:fldCharType="begin" w:fldLock="1"/>
      </w:r>
      <w:r w:rsidR="008F6B23">
        <w:rPr>
          <w:rFonts w:ascii="Arial" w:hAnsi="Arial" w:cs="Arial"/>
        </w:rPr>
        <w:instrText>ADDIN CSL_CITATION { "citationItems" : [ { "id" : "ITEM-1", "itemData" : { "DOI" : "10.1074/jbc.M111.316232", "ISBN" : "2093120941", "ISSN" : "00219258", "PMID" : "22535953", "abstract" : "Protective proteases are key elements of protein quality control pathways that are up-regulated, for example, under various protein folding stresses. These proteases are employed to prevent the accumulation and aggregation of misfolded proteins that can impose severe damage to cells. The high temperature requirement A (HtrA) family of serine proteases has evolved to perform important aspects of ATP-independent protein quality control. So far, however, no HtrA protease is known that degrades protein aggregates. We show here that human HTRA1 degrades aggregated and fibrillar tau, a protein that is critically involved in various neurological disorders. Neuronal cells and patient brains accumulate less tau, neurofibrillary tangles, and neuritic plaques, respectively, when HTRA1 is expressed at elevated levels. Furthermore, HTRA1 mRNA and HTRA1 activity are up-regulated in response to elevated tau concentrations. These data suggest that HTRA1 is performing regulated proteolysis during protein quality control, the implications of which are discussed.", "author" : [ { "dropping-particle" : "", "family" : "Tennstaedt", "given" : "Annette", "non-dropping-particle" : "", "parse-names" : false, "suffix" : "" }, { "dropping-particle" : "", "family" : "Popsel", "given" : "Simon", "non-dropping-particle" : "", "parse-names" : false, "suffix" : "" }, { "dropping-particle" : "", "family" : "Truebestein", "given" : "Linda", "non-dropping-particle" : "", "parse-names" : false, "suffix" : "" }, { "dropping-particle" : "", "family" : "Hauske", "given" : "Patrick", "non-dropping-particle" : "", "parse-names" : false, "suffix" : "" }, { "dropping-particle" : "", "family" : "Brockmann", "given" : "Anke", "non-dropping-particle" : "", "parse-names" : false, "suffix" : "" }, { "dropping-particle" : "", "family" : "Schmidt", "given" : "Nina", "non-dropping-particle" : "", "parse-names" : false, "suffix" : "" }, { "dropping-particle" : "", "family" : "Irle", "given" : "Inga", "non-dropping-particle" : "", "parse-names" : false, "suffix" : "" }, { "dropping-particle" : "", "family" : "Sacca", "given" : "Barbara", "non-dropping-particle" : "", "parse-names" : false, "suffix" : "" }, { "dropping-particle" : "", "family" : "Niemeyer", "given" : "Christof M", "non-dropping-particle" : "", "parse-names" : false, "suffix" : "" }, { "dropping-particle" : "", "family" : "Brandt", "given" : "Roland", "non-dropping-particle" : "", "parse-names" : false, "suffix" : "" }, { "dropping-particle" : "", "family" : "Ksiezak-Reding", "given" : "Hanna", "non-dropping-particle" : "", "parse-names" : false, "suffix" : "" }, { "dropping-particle" : "", "family" : "Tirniceriu", "given" : "Anca Laura", "non-dropping-particle" : "", "parse-names" : false, "suffix" : "" }, { "dropping-particle" : "", "family" : "Egensperger", "given" : "Rupert", "non-dropping-particle" : "", "parse-names" : false, "suffix" : "" }, { "dropping-particle" : "", "family" : "Baldi", "given" : "Alfonso", "non-dropping-particle" : "", "parse-names" : false, "suffix" : "" }, { "dropping-particle" : "", "family" : "Dehmelt", "given" : "Leif", "non-dropping-particle" : "", "parse-names" : false, "suffix" : "" }, { "dropping-particle" : "", "family" : "Kaiser", "given" : "Markus", "non-dropping-particle" : "", "parse-names" : false, "suffix" : "" }, { "dropping-particle" : "", "family" : "Huber", "given" : "Robert", "non-dropping-particle" : "", "parse-names" : false, "suffix" : "" }, { "dropping-particle" : "", "family" : "Clausen", "given" : "Tim", "non-dropping-particle" : "", "parse-names" : false, "suffix" : "" }, { "dropping-particle" : "", "family" : "Ehrmanna", "given" : "Michael", "non-dropping-particle" : "", "parse-names" : false, "suffix" : "" } ], "container-title" : "Journal of Biological Chemistry", "id" : "ITEM-1", "issue" : "25", "issued" : { "date-parts" : [ [ "2012", "6", "15" ] ] }, "page" : "20931-20941", "publisher" : "American Society for Biochemistry and Molecular Biology", "title" : "Human high temperature requirement serine protease A1 (HTRA1) degrades tau protein aggregates", "type" : "article-journal", "volume" : "287" }, "uris" : [ "http://www.mendeley.com/documents/?uuid=142ccbd2-9283-338e-8532-71c7847d97da" ] } ], "mendeley" : { "formattedCitation" : "&lt;sup&gt;3&lt;/sup&gt;", "plainTextFormattedCitation" : "3", "previouslyFormattedCitation" : "&lt;sup&gt;3&lt;/sup&gt;" }, "properties" : { "noteIndex" : 0 }, "schema" : "https://github.com/citation-style-language/schema/raw/master/csl-citation.json" }</w:instrText>
      </w:r>
      <w:r w:rsidR="008F6B23">
        <w:rPr>
          <w:rFonts w:ascii="Arial" w:hAnsi="Arial" w:cs="Arial"/>
        </w:rPr>
        <w:fldChar w:fldCharType="separate"/>
      </w:r>
      <w:r w:rsidR="008F6B23" w:rsidRPr="008F6B23">
        <w:rPr>
          <w:rFonts w:ascii="Arial" w:hAnsi="Arial" w:cs="Arial"/>
          <w:noProof/>
          <w:vertAlign w:val="superscript"/>
        </w:rPr>
        <w:t>3</w:t>
      </w:r>
      <w:r w:rsidR="008F6B23">
        <w:rPr>
          <w:rFonts w:ascii="Arial" w:hAnsi="Arial" w:cs="Arial"/>
        </w:rPr>
        <w:fldChar w:fldCharType="end"/>
      </w:r>
      <w:r w:rsidR="003822D7">
        <w:rPr>
          <w:rFonts w:ascii="Arial" w:hAnsi="Arial" w:cs="Arial"/>
        </w:rPr>
        <w:t>. Htra1 is a multi-</w:t>
      </w:r>
      <w:r>
        <w:rPr>
          <w:rFonts w:ascii="Arial" w:hAnsi="Arial" w:cs="Arial"/>
        </w:rPr>
        <w:t>domain</w:t>
      </w:r>
      <w:r w:rsidR="003822D7">
        <w:rPr>
          <w:rFonts w:ascii="Arial" w:hAnsi="Arial" w:cs="Arial"/>
        </w:rPr>
        <w:t xml:space="preserve"> protein, including an N-terminal</w:t>
      </w:r>
      <w:r w:rsidR="00302E44">
        <w:rPr>
          <w:rFonts w:ascii="Arial" w:hAnsi="Arial" w:cs="Arial"/>
        </w:rPr>
        <w:t xml:space="preserve"> region including</w:t>
      </w:r>
      <w:r>
        <w:rPr>
          <w:rFonts w:ascii="Arial" w:hAnsi="Arial" w:cs="Arial"/>
        </w:rPr>
        <w:t xml:space="preserve"> an</w:t>
      </w:r>
      <w:r w:rsidR="003822D7">
        <w:rPr>
          <w:rFonts w:ascii="Arial" w:hAnsi="Arial" w:cs="Arial"/>
        </w:rPr>
        <w:t xml:space="preserve"> </w:t>
      </w:r>
      <w:r w:rsidR="00302E44">
        <w:rPr>
          <w:rFonts w:ascii="Arial" w:hAnsi="Arial" w:cs="Arial"/>
        </w:rPr>
        <w:t xml:space="preserve">insulin-like growth factor binding (IGFB) </w:t>
      </w:r>
      <w:r>
        <w:rPr>
          <w:rFonts w:ascii="Arial" w:hAnsi="Arial" w:cs="Arial"/>
        </w:rPr>
        <w:t>motif and a</w:t>
      </w:r>
      <w:r w:rsidR="00302E44">
        <w:rPr>
          <w:rFonts w:ascii="Arial" w:hAnsi="Arial" w:cs="Arial"/>
        </w:rPr>
        <w:t xml:space="preserve"> </w:t>
      </w:r>
      <w:proofErr w:type="spellStart"/>
      <w:r w:rsidR="00302E44">
        <w:rPr>
          <w:rFonts w:ascii="Arial" w:hAnsi="Arial" w:cs="Arial"/>
        </w:rPr>
        <w:t>Kazal</w:t>
      </w:r>
      <w:proofErr w:type="spellEnd"/>
      <w:r w:rsidR="00366ECE">
        <w:rPr>
          <w:rFonts w:ascii="Arial" w:hAnsi="Arial" w:cs="Arial"/>
        </w:rPr>
        <w:t xml:space="preserve"> 2</w:t>
      </w:r>
      <w:r w:rsidR="00302E44">
        <w:rPr>
          <w:rFonts w:ascii="Arial" w:hAnsi="Arial" w:cs="Arial"/>
        </w:rPr>
        <w:t xml:space="preserve"> </w:t>
      </w:r>
      <w:r>
        <w:rPr>
          <w:rFonts w:ascii="Arial" w:hAnsi="Arial" w:cs="Arial"/>
        </w:rPr>
        <w:t>structure</w:t>
      </w:r>
      <w:r w:rsidR="00302E44">
        <w:rPr>
          <w:rFonts w:ascii="Arial" w:hAnsi="Arial" w:cs="Arial"/>
        </w:rPr>
        <w:t xml:space="preserve">, a serine protease middle </w:t>
      </w:r>
      <w:r>
        <w:rPr>
          <w:rFonts w:ascii="Arial" w:hAnsi="Arial" w:cs="Arial"/>
        </w:rPr>
        <w:t>domain</w:t>
      </w:r>
      <w:r w:rsidR="00533095">
        <w:rPr>
          <w:rFonts w:ascii="Arial" w:hAnsi="Arial" w:cs="Arial"/>
        </w:rPr>
        <w:fldChar w:fldCharType="begin" w:fldLock="1"/>
      </w:r>
      <w:r w:rsidR="008F6B23">
        <w:rPr>
          <w:rFonts w:ascii="Arial" w:hAnsi="Arial" w:cs="Arial"/>
        </w:rPr>
        <w:instrText>ADDIN CSL_CITATION { "citationItems" : [ { "id" : "ITEM-1", "itemData" : { "DOI" : "10.1016/j.str.2012.03.021", "ISBN" : "1878-4186 (Electronic)\\r0969-2126 (Linking)", "ISSN" : "09692126", "PMID" : "22578544", "abstract" : "The homotrimeric human serine protease HtrA1 is homologous to bacterial HtrA proteases regarding the trypsin-like catalytic and PDZ domains but differs by the presence of an N-terminal domain with IGFBP and Kazal homology. The crystal structures and SAXS analysis presented herein reveal the rare tandem of IGFBP- and Kazal-like modules, a protease active site that adopts a competent conformation in the absence of substrate or inhibitor and a model for the intact protein in solution. Highly sensitive enzymatic assays and binding studies demonstrate that the N-terminal tandem has no apparent effect on protease activity, and in accordance with the structure-based predictions, neither the IGFBP- nor Kazal-like module retains the function of their prototype proteins. Our structures of the unliganded HtrA1 active site suggest two-state equilibrium and a \"conformational selection\" model, in which substrate binds to the active conformer. \u00a9 2012 Elsevier Ltd All rights reserved.", "author" : [ { "dropping-particle" : "", "family" : "Eigenbrot", "given" : "Charles", "non-dropping-particle" : "", "parse-names" : false, "suffix" : "" }, { "dropping-particle" : "", "family" : "Ultsch", "given" : "Mark", "non-dropping-particle" : "", "parse-names" : false, "suffix" : "" }, { "dropping-particle" : "", "family" : "Lipari", "given" : "Michael T", "non-dropping-particle" : "", "parse-names" : false, "suffix" : "" }, { "dropping-particle" : "", "family" : "Moran", "given" : "Paul", "non-dropping-particle" : "", "parse-names" : false, "suffix" : "" }, { "dropping-particle" : "", "family" : "Lin", "given" : "S Jack", "non-dropping-particle" : "", "parse-names" : false, "suffix" : "" }, { "dropping-particle" : "", "family" : "Ganesan", "given" : "Rajkumar", "non-dropping-particle" : "", "parse-names" : false, "suffix" : "" }, { "dropping-particle" : "", "family" : "Quan", "given" : "Clifford", "non-dropping-particle" : "", "parse-names" : false, "suffix" : "" }, { "dropping-particle" : "", "family" : "Tom", "given" : "Jeffrey", "non-dropping-particle" : "", "parse-names" : false, "suffix" : "" }, { "dropping-particle" : "", "family" : "Sandoval", "given" : "Wendy", "non-dropping-particle" : "", "parse-names" : false, "suffix" : "" }, { "dropping-particle" : "", "family" : "Lookeren Campagne", "given" : "Menno", "non-dropping-particle" : "Van", "parse-names" : false, "suffix" : "" }, { "dropping-particle" : "", "family" : "Kirchhofer", "given" : "Daniel", "non-dropping-particle" : "", "parse-names" : false, "suffix" : "" } ], "container-title" : "Structure", "id" : "ITEM-1", "issue" : "6", "issued" : { "date-parts" : [ [ "2012" ] ] }, "page" : "1040-1050", "title" : "Structural and functional analysis of HtrA1 and its subdomains", "type" : "article-journal", "volume" : "20" }, "uris" : [ "http://www.mendeley.com/documents/?uuid=3a503cbe-3936-3b57-9e3f-ac3b582d3799" ] } ], "mendeley" : { "formattedCitation" : "&lt;sup&gt;4&lt;/sup&gt;", "plainTextFormattedCitation" : "4", "previouslyFormattedCitation" : "&lt;sup&gt;4&lt;/sup&gt;" }, "properties" : { "noteIndex" : 0 }, "schema" : "https://github.com/citation-style-language/schema/raw/master/csl-citation.json" }</w:instrText>
      </w:r>
      <w:r w:rsidR="00533095">
        <w:rPr>
          <w:rFonts w:ascii="Arial" w:hAnsi="Arial" w:cs="Arial"/>
        </w:rPr>
        <w:fldChar w:fldCharType="separate"/>
      </w:r>
      <w:r w:rsidR="008F6B23" w:rsidRPr="008F6B23">
        <w:rPr>
          <w:rFonts w:ascii="Arial" w:hAnsi="Arial" w:cs="Arial"/>
          <w:noProof/>
          <w:vertAlign w:val="superscript"/>
        </w:rPr>
        <w:t>4</w:t>
      </w:r>
      <w:r w:rsidR="00533095">
        <w:rPr>
          <w:rFonts w:ascii="Arial" w:hAnsi="Arial" w:cs="Arial"/>
        </w:rPr>
        <w:fldChar w:fldCharType="end"/>
      </w:r>
      <w:r w:rsidR="00302E44">
        <w:rPr>
          <w:rFonts w:ascii="Arial" w:hAnsi="Arial" w:cs="Arial"/>
        </w:rPr>
        <w:t>, and a</w:t>
      </w:r>
      <w:r>
        <w:rPr>
          <w:rFonts w:ascii="Arial" w:hAnsi="Arial" w:cs="Arial"/>
        </w:rPr>
        <w:t xml:space="preserve"> C-terminal</w:t>
      </w:r>
      <w:r w:rsidR="00302E44">
        <w:rPr>
          <w:rFonts w:ascii="Arial" w:hAnsi="Arial" w:cs="Arial"/>
        </w:rPr>
        <w:t xml:space="preserve"> PDZ</w:t>
      </w:r>
      <w:r>
        <w:rPr>
          <w:rFonts w:ascii="Arial" w:hAnsi="Arial" w:cs="Arial"/>
        </w:rPr>
        <w:t xml:space="preserve"> domain</w:t>
      </w:r>
      <w:r w:rsidR="00533095">
        <w:rPr>
          <w:rFonts w:ascii="Arial" w:hAnsi="Arial" w:cs="Arial"/>
        </w:rPr>
        <w:fldChar w:fldCharType="begin" w:fldLock="1"/>
      </w:r>
      <w:r w:rsidR="008F6B23">
        <w:rPr>
          <w:rFonts w:ascii="Arial" w:hAnsi="Arial" w:cs="Arial"/>
        </w:rPr>
        <w:instrText>ADDIN CSL_CITATION { "citationItems" : [ { "id" : "ITEM-1", "itemData" : { "DOI" : "10.1110/ps.073049407", "ISBN" : "0961-8368 (Print)\\n0961-8368 (Linking)", "ISSN" : "0961-8368", "PMID" : "17962403", "abstract" : "High-temperature requirement A (HtrA) and its homologs contain a serine protease domain followed by one or two PDZ domains. Bacterial HtrA proteins and the mitochondrial protein HtrA2/Omi maintain cell function by acting as both molecular chaperones and proteases to manage misfolded proteins. The biological roles of the mammalian family members HtrA1 and HtrA3 are less clear. We report a detailed structural and functional analysis of the PDZ domains of human HtrA1 and HtrA3 using peptide libraries and affinity assays to define specificity, structural studies to view the molecular details of ligand recognition, and alanine scanning mutagenesis to investigate the energetic contributions of individual residues to ligand binding. In common with HtrA2/Omi, we show that the PDZ domains of HtrA1 and HtrA3 recognize hydrophobic polypeptides, and while C-terminal sequences are preferred, internal sequences are also recognized. However, the details of the interactions differ, as different domains rely on interactions with different residues within the ligand to achieve high affinity binding. The results suggest that mammalian HtrA PDZ domains interact with a broad range of hydrophobic binding partners. This promiscuous specificity resembles that of bacterial HtrA family members and suggests a similar function for recognizing misfolded polypeptides with exposed hydrophobic sequences. Our results support a common activation mechanism for the HtrA family, whereby hydrophobic peptides bind to the PDZ domain and induce conformational changes that activate the protease. Such a mechanism is well suited to proteases evolved for the recognition and degradation of misfolded proteins.", "author" : [ { "dropping-particle" : "", "family" : "Runyon", "given" : "Steven T", "non-dropping-particle" : "", "parse-names" : false, "suffix" : "" }, { "dropping-particle" : "", "family" : "Zhang", "given" : "Yingnan", "non-dropping-particle" : "", "parse-names" : false, "suffix" : "" }, { "dropping-particle" : "", "family" : "Appleton", "given" : "Brent", "non-dropping-particle" : "", "parse-names" : false, "suffix" : "" }, { "dropping-particle" : "", "family" : "Sazinsky", "given" : "Stephen L", "non-dropping-particle" : "", "parse-names" : false, "suffix" : "" }, { "dropping-particle" : "", "family" : "Wu", "given" : "Ping", "non-dropping-particle" : "", "parse-names" : false, "suffix" : "" }, { "dropping-particle" : "", "family" : "Pan", "given" : "Borlan", "non-dropping-particle" : "", "parse-names" : false, "suffix" : "" }, { "dropping-particle" : "", "family" : "Wiesmann", "given" : "Christian", "non-dropping-particle" : "", "parse-names" : false, "suffix" : "" }, { "dropping-particle" : "", "family" : "Skelton", "given" : "Nicholas J", "non-dropping-particle" : "", "parse-names" : false, "suffix" : "" }, { "dropping-particle" : "", "family" : "Sidhu", "given" : "Sachdev S", "non-dropping-particle" : "", "parse-names" : false, "suffix" : "" } ], "container-title" : "Protein Science", "id" : "ITEM-1", "issue" : "11", "issued" : { "date-parts" : [ [ "2007", "11" ] ] }, "page" : "2454-2471", "publisher" : "Wiley-Blackwell", "title" : "Structural and functional analysis of the PDZ domains of human HtrA1 and HtrA3", "type" : "article-journal", "volume" : "16" }, "uris" : [ "http://www.mendeley.com/documents/?uuid=d5413249-2ebe-35d4-b4f1-394ca625ed36" ] } ], "mendeley" : { "formattedCitation" : "&lt;sup&gt;5&lt;/sup&gt;", "plainTextFormattedCitation" : "5", "previouslyFormattedCitation" : "&lt;sup&gt;5&lt;/sup&gt;" }, "properties" : { "noteIndex" : 0 }, "schema" : "https://github.com/citation-style-language/schema/raw/master/csl-citation.json" }</w:instrText>
      </w:r>
      <w:r w:rsidR="00533095">
        <w:rPr>
          <w:rFonts w:ascii="Arial" w:hAnsi="Arial" w:cs="Arial"/>
        </w:rPr>
        <w:fldChar w:fldCharType="separate"/>
      </w:r>
      <w:r w:rsidR="008F6B23" w:rsidRPr="008F6B23">
        <w:rPr>
          <w:rFonts w:ascii="Arial" w:hAnsi="Arial" w:cs="Arial"/>
          <w:noProof/>
          <w:vertAlign w:val="superscript"/>
        </w:rPr>
        <w:t>5</w:t>
      </w:r>
      <w:r w:rsidR="00533095">
        <w:rPr>
          <w:rFonts w:ascii="Arial" w:hAnsi="Arial" w:cs="Arial"/>
        </w:rPr>
        <w:fldChar w:fldCharType="end"/>
      </w:r>
      <w:r w:rsidR="00302E44">
        <w:rPr>
          <w:rFonts w:ascii="Arial" w:hAnsi="Arial" w:cs="Arial"/>
        </w:rPr>
        <w:t xml:space="preserve">, with all three </w:t>
      </w:r>
      <w:r>
        <w:rPr>
          <w:rFonts w:ascii="Arial" w:hAnsi="Arial" w:cs="Arial"/>
        </w:rPr>
        <w:t>domains</w:t>
      </w:r>
      <w:r w:rsidR="00302E44">
        <w:rPr>
          <w:rFonts w:ascii="Arial" w:hAnsi="Arial" w:cs="Arial"/>
        </w:rPr>
        <w:t xml:space="preserve"> connected flexibly. Structures for each </w:t>
      </w:r>
      <w:r>
        <w:rPr>
          <w:rFonts w:ascii="Arial" w:hAnsi="Arial" w:cs="Arial"/>
        </w:rPr>
        <w:t>domain</w:t>
      </w:r>
      <w:r w:rsidR="00302E44">
        <w:rPr>
          <w:rFonts w:ascii="Arial" w:hAnsi="Arial" w:cs="Arial"/>
        </w:rPr>
        <w:t xml:space="preserve"> have been determined with usable resolution, but not for the</w:t>
      </w:r>
      <w:r w:rsidR="00533095">
        <w:rPr>
          <w:rFonts w:ascii="Arial" w:hAnsi="Arial" w:cs="Arial"/>
        </w:rPr>
        <w:t xml:space="preserve"> trimeric structure </w:t>
      </w:r>
      <w:r w:rsidR="009B24AB">
        <w:rPr>
          <w:rFonts w:ascii="Arial" w:hAnsi="Arial" w:cs="Arial"/>
        </w:rPr>
        <w:t>assumed by</w:t>
      </w:r>
      <w:r w:rsidR="00533095">
        <w:rPr>
          <w:rFonts w:ascii="Arial" w:hAnsi="Arial" w:cs="Arial"/>
        </w:rPr>
        <w:t xml:space="preserve"> the</w:t>
      </w:r>
      <w:r w:rsidR="00302E44">
        <w:rPr>
          <w:rFonts w:ascii="Arial" w:hAnsi="Arial" w:cs="Arial"/>
        </w:rPr>
        <w:t xml:space="preserve"> full protein, thus characterization of the interactions between the domains, and the </w:t>
      </w:r>
      <w:r w:rsidR="008F6B23">
        <w:rPr>
          <w:rFonts w:ascii="Arial" w:hAnsi="Arial" w:cs="Arial"/>
        </w:rPr>
        <w:t xml:space="preserve">regulatory </w:t>
      </w:r>
      <w:r w:rsidR="00302E44">
        <w:rPr>
          <w:rFonts w:ascii="Arial" w:hAnsi="Arial" w:cs="Arial"/>
        </w:rPr>
        <w:t>influences those interactions might have on proteolytic activity</w:t>
      </w:r>
      <w:r w:rsidR="009B24AB">
        <w:rPr>
          <w:rFonts w:ascii="Arial" w:hAnsi="Arial" w:cs="Arial"/>
        </w:rPr>
        <w:t xml:space="preserve"> and substrate specificity</w:t>
      </w:r>
      <w:r w:rsidR="00302E44">
        <w:rPr>
          <w:rFonts w:ascii="Arial" w:hAnsi="Arial" w:cs="Arial"/>
        </w:rPr>
        <w:t>, remains speculative.</w:t>
      </w:r>
      <w:r w:rsidR="00BE134B">
        <w:rPr>
          <w:rFonts w:ascii="Arial" w:hAnsi="Arial" w:cs="Arial"/>
        </w:rPr>
        <w:t xml:space="preserve"> </w:t>
      </w:r>
    </w:p>
    <w:p w:rsidR="00D7723C" w:rsidRDefault="002C4409" w:rsidP="009B0224">
      <w:pPr>
        <w:ind w:firstLine="720"/>
        <w:jc w:val="both"/>
        <w:rPr>
          <w:rFonts w:ascii="Arial" w:hAnsi="Arial" w:cs="Arial"/>
        </w:rPr>
      </w:pPr>
      <w:r>
        <w:rPr>
          <w:rFonts w:ascii="Arial" w:hAnsi="Arial" w:cs="Arial"/>
        </w:rPr>
        <w:t>A considerable body of work has been invested into elucidating the behavior of Htra1, due to its diverse roles in a number of natural processes and medical conditions</w:t>
      </w:r>
      <w:r>
        <w:rPr>
          <w:rFonts w:ascii="Arial" w:hAnsi="Arial" w:cs="Arial"/>
        </w:rPr>
        <w:fldChar w:fldCharType="begin" w:fldLock="1"/>
      </w:r>
      <w:r w:rsidR="008F6B23">
        <w:rPr>
          <w:rFonts w:ascii="Arial" w:hAnsi="Arial" w:cs="Arial"/>
        </w:rPr>
        <w:instrText>ADDIN CSL_CITATION { "citationItems" : [ { "id" : "ITEM-1", "itemData" : { "DOI" : "10.1016/j.abb.2017.04.004", "ISSN" : "10960384", "abstract" : "Human HtrA1-4 proteins belong to the HtrA family of evolutionarily conserved serine proteases and function as important modulators of many physiological processes, including maintenance of mitochondrial homeostasis, cell signaling and apoptosis. Disturbances in their action are linked to severe diseases, including oncogenesis and neurodegeneration. The HtrA1-4 proteins share structural and functional features of other members of the HtrA protein family, however there are several significant differences in structural architecture and mechanisms of action which makes each of them unique. Our goal is to present recent studies regarding human HtrAs. We focus on their physiological functions, structure and regulation, and describe current models of activation mechanisms. Knowledge of molecular basis of the human HtrAs' action is a subject of great interest; it is crucial for understanding their relevance in cellular physiology and pathogenesis as well as for using them as targets in future therapies of diseases such as neurodegenerative disorders and cancer.", "author" : [ { "dropping-particle" : "", "family" : "Zurawa-Janicka", "given" : "Dorota", "non-dropping-particle" : "", "parse-names" : false, "suffix" : "" }, { "dropping-particle" : "", "family" : "Wenta", "given" : "Tomasz", "non-dropping-particle" : "", "parse-names" : false, "suffix" : "" }, { "dropping-particle" : "", "family" : "Jarzab", "given" : "Miroslaw", "non-dropping-particle" : "", "parse-names" : false, "suffix" : "" }, { "dropping-particle" : "", "family" : "Skorko-Glonek", "given" : "Joanna", "non-dropping-particle" : "", "parse-names" : false, "suffix" : "" }, { "dropping-particle" : "", "family" : "Glaza", "given" : "Przemyslaw", "non-dropping-particle" : "", "parse-names" : false, "suffix" : "" }, { "dropping-particle" : "", "family" : "Gieldon", "given" : "Artur", "non-dropping-particle" : "", "parse-names" : false, "suffix" : "" }, { "dropping-particle" : "", "family" : "Ciarkowski", "given" : "Jerzy", "non-dropping-particle" : "", "parse-names" : false, "suffix" : "" }, { "dropping-particle" : "", "family" : "Lipinska", "given" : "Barbara", "non-dropping-particle" : "", "parse-names" : false, "suffix" : "" } ], "container-title" : "Archives of Biochemistry and Biophysics", "id" : "ITEM-1", "issued" : { "date-parts" : [ [ "2017", "5", "1" ] ] }, "page" : "6-23", "publisher" : "Academic Press", "title" : "Structural insights into the activation mechanisms of human HtrA serine proteases", "type" : "article-journal", "volume" : "621" }, "uris" : [ "http://www.mendeley.com/documents/?uuid=db19e3ba-eaf7-3931-b0ac-ecb70357a04a" ] } ], "mendeley" : { "formattedCitation" : "&lt;sup&gt;6&lt;/sup&gt;", "plainTextFormattedCitation" : "6", "previouslyFormattedCitation" : "&lt;sup&gt;6&lt;/sup&gt;" }, "properties" : { "noteIndex" : 0 }, "schema" : "https://github.com/citation-style-language/schema/raw/master/csl-citation.json" }</w:instrText>
      </w:r>
      <w:r>
        <w:rPr>
          <w:rFonts w:ascii="Arial" w:hAnsi="Arial" w:cs="Arial"/>
        </w:rPr>
        <w:fldChar w:fldCharType="separate"/>
      </w:r>
      <w:r w:rsidR="008F6B23" w:rsidRPr="008F6B23">
        <w:rPr>
          <w:rFonts w:ascii="Arial" w:hAnsi="Arial" w:cs="Arial"/>
          <w:noProof/>
          <w:vertAlign w:val="superscript"/>
        </w:rPr>
        <w:t>6</w:t>
      </w:r>
      <w:r>
        <w:rPr>
          <w:rFonts w:ascii="Arial" w:hAnsi="Arial" w:cs="Arial"/>
        </w:rPr>
        <w:fldChar w:fldCharType="end"/>
      </w:r>
      <w:r>
        <w:rPr>
          <w:rFonts w:ascii="Arial" w:hAnsi="Arial" w:cs="Arial"/>
        </w:rPr>
        <w:t>.</w:t>
      </w:r>
      <w:r w:rsidR="008F6B23">
        <w:rPr>
          <w:rFonts w:ascii="Arial" w:hAnsi="Arial" w:cs="Arial"/>
        </w:rPr>
        <w:t xml:space="preserve"> For our purposes, the </w:t>
      </w:r>
      <w:r w:rsidR="00A67A0C">
        <w:rPr>
          <w:rFonts w:ascii="Arial" w:hAnsi="Arial" w:cs="Arial"/>
        </w:rPr>
        <w:t xml:space="preserve">biochemical </w:t>
      </w:r>
      <w:r w:rsidR="008F6B23">
        <w:rPr>
          <w:rFonts w:ascii="Arial" w:hAnsi="Arial" w:cs="Arial"/>
        </w:rPr>
        <w:t>studies of Htra1’s substrate recognition in the PDZ domain</w:t>
      </w:r>
      <w:r w:rsidR="008F6B23">
        <w:rPr>
          <w:rFonts w:ascii="Arial" w:hAnsi="Arial" w:cs="Arial"/>
        </w:rPr>
        <w:fldChar w:fldCharType="begin" w:fldLock="1"/>
      </w:r>
      <w:r w:rsidR="008F6B23">
        <w:rPr>
          <w:rFonts w:ascii="Arial" w:hAnsi="Arial" w:cs="Arial"/>
        </w:rPr>
        <w:instrText>ADDIN CSL_CITATION { "citationItems" : [ { "id" : "ITEM-1", "itemData" : { "DOI" : "10.1110/ps.073049407", "ISBN" : "0961-8368 (Print)\\n0961-8368 (Linking)", "ISSN" : "0961-8368", "PMID" : "17962403", "abstract" : "High-temperature requirement A (HtrA) and its homologs contain a serine protease domain followed by one or two PDZ domains. Bacterial HtrA proteins and the mitochondrial protein HtrA2/Omi maintain cell function by acting as both molecular chaperones and proteases to manage misfolded proteins. The biological roles of the mammalian family members HtrA1 and HtrA3 are less clear. We report a detailed structural and functional analysis of the PDZ domains of human HtrA1 and HtrA3 using peptide libraries and affinity assays to define specificity, structural studies to view the molecular details of ligand recognition, and alanine scanning mutagenesis to investigate the energetic contributions of individual residues to ligand binding. In common with HtrA2/Omi, we show that the PDZ domains of HtrA1 and HtrA3 recognize hydrophobic polypeptides, and while C-terminal sequences are preferred, internal sequences are also recognized. However, the details of the interactions differ, as different domains rely on interactions with different residues within the ligand to achieve high affinity binding. The results suggest that mammalian HtrA PDZ domains interact with a broad range of hydrophobic binding partners. This promiscuous specificity resembles that of bacterial HtrA family members and suggests a similar function for recognizing misfolded polypeptides with exposed hydrophobic sequences. Our results support a common activation mechanism for the HtrA family, whereby hydrophobic peptides bind to the PDZ domain and induce conformational changes that activate the protease. Such a mechanism is well suited to proteases evolved for the recognition and degradation of misfolded proteins.", "author" : [ { "dropping-particle" : "", "family" : "Runyon", "given" : "Steven T", "non-dropping-particle" : "", "parse-names" : false, "suffix" : "" }, { "dropping-particle" : "", "family" : "Zhang", "given" : "Yingnan", "non-dropping-particle" : "", "parse-names" : false, "suffix" : "" }, { "dropping-particle" : "", "family" : "Appleton", "given" : "Brent", "non-dropping-particle" : "", "parse-names" : false, "suffix" : "" }, { "dropping-particle" : "", "family" : "Sazinsky", "given" : "Stephen L", "non-dropping-particle" : "", "parse-names" : false, "suffix" : "" }, { "dropping-particle" : "", "family" : "Wu", "given" : "Ping", "non-dropping-particle" : "", "parse-names" : false, "suffix" : "" }, { "dropping-particle" : "", "family" : "Pan", "given" : "Borlan", "non-dropping-particle" : "", "parse-names" : false, "suffix" : "" }, { "dropping-particle" : "", "family" : "Wiesmann", "given" : "Christian", "non-dropping-particle" : "", "parse-names" : false, "suffix" : "" }, { "dropping-particle" : "", "family" : "Skelton", "given" : "Nicholas J", "non-dropping-particle" : "", "parse-names" : false, "suffix" : "" }, { "dropping-particle" : "", "family" : "Sidhu", "given" : "Sachdev S", "non-dropping-particle" : "", "parse-names" : false, "suffix" : "" } ], "container-title" : "Protein Science", "id" : "ITEM-1", "issue" : "11", "issued" : { "date-parts" : [ [ "2007", "11" ] ] }, "page" : "2454-2471", "publisher" : "Wiley-Blackwell", "title" : "Structural and functional analysis of the PDZ domains of human HtrA1 and HtrA3", "type" : "article-journal", "volume" : "16" }, "uris" : [ "http://www.mendeley.com/documents/?uuid=d5413249-2ebe-35d4-b4f1-394ca625ed36" ] } ], "mendeley" : { "formattedCitation" : "&lt;sup&gt;5&lt;/sup&gt;", "plainTextFormattedCitation" : "5", "previouslyFormattedCitation" : "&lt;sup&gt;5&lt;/sup&gt;" }, "properties" : { "noteIndex" : 0 }, "schema" : "https://github.com/citation-style-language/schema/raw/master/csl-citation.json" }</w:instrText>
      </w:r>
      <w:r w:rsidR="008F6B23">
        <w:rPr>
          <w:rFonts w:ascii="Arial" w:hAnsi="Arial" w:cs="Arial"/>
        </w:rPr>
        <w:fldChar w:fldCharType="separate"/>
      </w:r>
      <w:r w:rsidR="008F6B23" w:rsidRPr="008F6B23">
        <w:rPr>
          <w:rFonts w:ascii="Arial" w:hAnsi="Arial" w:cs="Arial"/>
          <w:noProof/>
          <w:vertAlign w:val="superscript"/>
        </w:rPr>
        <w:t>5</w:t>
      </w:r>
      <w:r w:rsidR="008F6B23">
        <w:rPr>
          <w:rFonts w:ascii="Arial" w:hAnsi="Arial" w:cs="Arial"/>
        </w:rPr>
        <w:fldChar w:fldCharType="end"/>
      </w:r>
      <w:r w:rsidR="008F6B23">
        <w:rPr>
          <w:rFonts w:ascii="Arial" w:hAnsi="Arial" w:cs="Arial"/>
        </w:rPr>
        <w:t xml:space="preserve"> and protease domain</w:t>
      </w:r>
      <w:r w:rsidR="008F6B23">
        <w:rPr>
          <w:rFonts w:ascii="Arial" w:hAnsi="Arial" w:cs="Arial"/>
        </w:rPr>
        <w:fldChar w:fldCharType="begin" w:fldLock="1"/>
      </w:r>
      <w:r w:rsidR="007C0BA9">
        <w:rPr>
          <w:rFonts w:ascii="Arial" w:hAnsi="Arial" w:cs="Arial"/>
        </w:rPr>
        <w:instrText>ADDIN CSL_CITATION { "citationItems" : [ { "id" : "ITEM-1", "itemData" : { "DOI" : "10.1038/nsmb.2013", "ISBN" : "1545-9985 (Electronic)\\n1545-9985 (Linking)", "ISSN" : "15459993", "PMID" : "21297635", "abstract" : "Crystal structures of active and inactive conformations of the human serine protease HTRA1 reveal that substrate binding to the active site is sufficient to stimulate proteolytic activity. HTRA1 attaches to liposomes, digests misfolded proteins into defined fragments and undergoes substrate-mediated oligomer conversion. In contrast to those of other serine proteases, the PDZ domain of HTRA1 is dispensable for activation or lipid attachment, indicative of different underlying mechanistic features.", "author" : [ { "dropping-particle" : "", "family" : "Truebestein", "given" : "Linda", "non-dropping-particle" : "", "parse-names" : false, "suffix" : "" }, { "dropping-particle" : "", "family" : "Tennstaedt", "given" : "Annette", "non-dropping-particle" : "", "parse-names" : false, "suffix" : "" }, { "dropping-particle" : "", "family" : "M\u00f6nig", "given" : "Timon", "non-dropping-particle" : "", "parse-names" : false, "suffix" : "" }, { "dropping-particle" : "", "family" : "Krojer", "given" : "Tobias", "non-dropping-particle" : "", "parse-names" : false, "suffix" : "" }, { "dropping-particle" : "", "family" : "Canellas", "given" : "Flavia", "non-dropping-particle" : "", "parse-names" : false, "suffix" : "" }, { "dropping-particle" : "", "family" : "Kaiser", "given" : "Markus", "non-dropping-particle" : "", "parse-names" : false, "suffix" : "" }, { "dropping-particle" : "", "family" : "Clausen", "given" : "Tim", "non-dropping-particle" : "", "parse-names" : false, "suffix" : "" }, { "dropping-particle" : "", "family" : "Ehrmann", "given" : "Michael", "non-dropping-particle" : "", "parse-names" : false, "suffix" : "" } ], "container-title" : "Nature Structural and Molecular Biology", "id" : "ITEM-1", "issue" : "3", "issued" : { "date-parts" : [ [ "2011", "3", "6" ] ] }, "page" : "386-388", "publisher" : "Nature Publishing Group", "title" : "Substrate-induced remodeling of the active site regulates human HTRA1 activity", "type" : "article-journal", "volume" : "18" }, "uris" : [ "http://www.mendeley.com/documents/?uuid=a71045b3-e965-30a6-8544-f7c1704642c3" ] }, { "id" : "ITEM-2", "itemData" : { "DOI" : "10.1016/j.str.2012.03.021", "ISBN" : "1878-4186 (Electronic)\\r0969-2126 (Linking)", "ISSN" : "09692126", "PMID" : "22578544", "abstract" : "The homotrimeric human serine protease HtrA1 is homologous to bacterial HtrA proteases regarding the trypsin-like catalytic and PDZ domains but differs by the presence of an N-terminal domain with IGFBP and Kazal homology. The crystal structures and SAXS analysis presented herein reveal the rare tandem of IGFBP- and Kazal-like modules, a protease active site that adopts a competent conformation in the absence of substrate or inhibitor and a model for the intact protein in solution. Highly sensitive enzymatic assays and binding studies demonstrate that the N-terminal tandem has no apparent effect on protease activity, and in accordance with the structure-based predictions, neither the IGFBP- nor Kazal-like module retains the function of their prototype proteins. Our structures of the unliganded HtrA1 active site suggest two-state equilibrium and a \"conformational selection\" model, in which substrate binds to the active conformer. \u00a9 2012 Elsevier Ltd All rights reserved.", "author" : [ { "dropping-particle" : "", "family" : "Eigenbrot", "given" : "Charles", "non-dropping-particle" : "", "parse-names" : false, "suffix" : "" }, { "dropping-particle" : "", "family" : "Ultsch", "given" : "Mark", "non-dropping-particle" : "", "parse-names" : false, "suffix" : "" }, { "dropping-particle" : "", "family" : "Lipari", "given" : "Michael T", "non-dropping-particle" : "", "parse-names" : false, "suffix" : "" }, { "dropping-particle" : "", "family" : "Moran", "given" : "Paul", "non-dropping-particle" : "", "parse-names" : false, "suffix" : "" }, { "dropping-particle" : "", "family" : "Lin", "given" : "S Jack", "non-dropping-particle" : "", "parse-names" : false, "suffix" : "" }, { "dropping-particle" : "", "family" : "Ganesan", "given" : "Rajkumar", "non-dropping-particle" : "", "parse-names" : false, "suffix" : "" }, { "dropping-particle" : "", "family" : "Quan", "given" : "Clifford", "non-dropping-particle" : "", "parse-names" : false, "suffix" : "" }, { "dropping-particle" : "", "family" : "Tom", "given" : "Jeffrey", "non-dropping-particle" : "", "parse-names" : false, "suffix" : "" }, { "dropping-particle" : "", "family" : "Sandoval", "given" : "Wendy", "non-dropping-particle" : "", "parse-names" : false, "suffix" : "" }, { "dropping-particle" : "", "family" : "Lookeren Campagne", "given" : "Menno", "non-dropping-particle" : "Van", "parse-names" : false, "suffix" : "" }, { "dropping-particle" : "", "family" : "Kirchhofer", "given" : "Daniel", "non-dropping-particle" : "", "parse-names" : false, "suffix" : "" } ], "container-title" : "Structure", "id" : "ITEM-2", "issue" : "6", "issued" : { "date-parts" : [ [ "2012" ] ] }, "page" : "1040-1050", "title" : "Structural and functional analysis of HtrA1 and its subdomains", "type" : "article-journal", "volume" : "20" }, "uris" : [ "http://www.mendeley.com/documents/?uuid=3a503cbe-3936-3b57-9e3f-ac3b582d3799" ] } ], "mendeley" : { "formattedCitation" : "&lt;sup&gt;4,7&lt;/sup&gt;", "plainTextFormattedCitation" : "4,7", "previouslyFormattedCitation" : "&lt;sup&gt;4,7&lt;/sup&gt;" }, "properties" : { "noteIndex" : 0 }, "schema" : "https://github.com/citation-style-language/schema/raw/master/csl-citation.json" }</w:instrText>
      </w:r>
      <w:r w:rsidR="008F6B23">
        <w:rPr>
          <w:rFonts w:ascii="Arial" w:hAnsi="Arial" w:cs="Arial"/>
        </w:rPr>
        <w:fldChar w:fldCharType="separate"/>
      </w:r>
      <w:r w:rsidR="007C0BA9" w:rsidRPr="007C0BA9">
        <w:rPr>
          <w:rFonts w:ascii="Arial" w:hAnsi="Arial" w:cs="Arial"/>
          <w:noProof/>
          <w:vertAlign w:val="superscript"/>
        </w:rPr>
        <w:t>4,7</w:t>
      </w:r>
      <w:r w:rsidR="008F6B23">
        <w:rPr>
          <w:rFonts w:ascii="Arial" w:hAnsi="Arial" w:cs="Arial"/>
        </w:rPr>
        <w:fldChar w:fldCharType="end"/>
      </w:r>
      <w:r w:rsidR="007C0BA9">
        <w:rPr>
          <w:rFonts w:ascii="Arial" w:hAnsi="Arial" w:cs="Arial"/>
        </w:rPr>
        <w:t>, and tau-specific degradation</w:t>
      </w:r>
      <w:r w:rsidR="000F4CEA">
        <w:rPr>
          <w:rFonts w:ascii="Arial" w:hAnsi="Arial" w:cs="Arial"/>
        </w:rPr>
        <w:t xml:space="preserve"> behavior</w:t>
      </w:r>
      <w:r w:rsidR="007C0BA9">
        <w:rPr>
          <w:rFonts w:ascii="Arial" w:hAnsi="Arial" w:cs="Arial"/>
        </w:rPr>
        <w:fldChar w:fldCharType="begin" w:fldLock="1"/>
      </w:r>
      <w:r w:rsidR="00A97B00">
        <w:rPr>
          <w:rFonts w:ascii="Arial" w:hAnsi="Arial" w:cs="Arial"/>
        </w:rPr>
        <w:instrText>ADDIN CSL_CITATION { "citationItems" : [ { "id" : "ITEM-1", "itemData" : { "DOI" : "10.1038/nchembio.1931", "ISSN" : "15524469", "PMID" : "26436840", "abstract" : "Excessive aggregation of proteins has a major impact on cell fate and is a hallmark of amyloid diseases in humans. To resolve insoluble deposits and to maintain protein homeostasis, all cells use dedicated protein disaggregation, protein folding and protein degradation factors. Despite intense recent research, the underlying mechanisms controlling this key metabolic event are not well understood. Here, we analyzed how a single factor, the highly conserved serine protease HTRA1, degrades amyloid fibrils in an ATP-independent manner. This PDZ protease solubilizes protein fibrils and disintegrates the fibrillar core structure, allowing productive interaction of aggregated polypeptides with the active site for rapid degradation. The aggregate burden in a cellular model of cytoplasmic tau aggregation is thus reduced. Mechanistic aspects of ATP-independent proteolysis and its implications in amyloid diseases are discussed.", "author" : [ { "dropping-particle" : "", "family" : "Poepsel", "given" : "Simon", "non-dropping-particle" : "", "parse-names" : false, "suffix" : "" }, { "dropping-particle" : "", "family" : "Sprengel", "given" : "Andreas", "non-dropping-particle" : "", "parse-names" : false, "suffix" : "" }, { "dropping-particle" : "", "family" : "Sacca", "given" : "Barbara", "non-dropping-particle" : "", "parse-names" : false, "suffix" : "" }, { "dropping-particle" : "", "family" : "Kaschani", "given" : "Farnusch", "non-dropping-particle" : "", "parse-names" : false, "suffix" : "" }, { "dropping-particle" : "", "family" : "Kaiser", "given" : "Markus", "non-dropping-particle" : "", "parse-names" : false, "suffix" : "" }, { "dropping-particle" : "", "family" : "Gatsogiannis", "given" : "Christos", "non-dropping-particle" : "", "parse-names" : false, "suffix" : "" }, { "dropping-particle" : "", "family" : "Raunser", "given" : "Stefan", "non-dropping-particle" : "", "parse-names" : false, "suffix" : "" }, { "dropping-particle" : "", "family" : "Clausen", "given" : "Tim", "non-dropping-particle" : "", "parse-names" : false, "suffix" : "" }, { "dropping-particle" : "", "family" : "Ehrmann", "given" : "Michael", "non-dropping-particle" : "", "parse-names" : false, "suffix" : "" } ], "container-title" : "Nature Chemical Biology", "id" : "ITEM-1", "issue" : "11", "issued" : { "date-parts" : [ [ "2015" ] ] }, "page" : "862-869", "title" : "Determinants of amyloid fibril degradation by the PDZ protease HTRA1", "type" : "article-journal", "volume" : "11" }, "uris" : [ "http://www.mendeley.com/documents/?uuid=9feed631-7876-38de-9ef5-284a6bfa0f30" ] }, { "id" : "ITEM-2", "itemData" : { "DOI" : "10.1074/jbc.M111.316232", "ISBN" : "2093120941", "ISSN" : "00219258", "PMID" : "22535953", "abstract" : "Protective proteases are key elements of protein quality control pathways that are up-regulated, for example, under various protein folding stresses. These proteases are employed to prevent the accumulation and aggregation of misfolded proteins that can impose severe damage to cells. The high temperature requirement A (HtrA) family of serine proteases has evolved to perform important aspects of ATP-independent protein quality control. So far, however, no HtrA protease is known that degrades protein aggregates. We show here that human HTRA1 degrades aggregated and fibrillar tau, a protein that is critically involved in various neurological disorders. Neuronal cells and patient brains accumulate less tau, neurofibrillary tangles, and neuritic plaques, respectively, when HTRA1 is expressed at elevated levels. Furthermore, HTRA1 mRNA and HTRA1 activity are up-regulated in response to elevated tau concentrations. These data suggest that HTRA1 is performing regulated proteolysis during protein quality control, the implications of which are discussed.", "author" : [ { "dropping-particle" : "", "family" : "Tennstaedt", "given" : "Annette", "non-dropping-particle" : "", "parse-names" : false, "suffix" : "" }, { "dropping-particle" : "", "family" : "Popsel", "given" : "Simon", "non-dropping-particle" : "", "parse-names" : false, "suffix" : "" }, { "dropping-particle" : "", "family" : "Truebestein", "given" : "Linda", "non-dropping-particle" : "", "parse-names" : false, "suffix" : "" }, { "dropping-particle" : "", "family" : "Hauske", "given" : "Patrick", "non-dropping-particle" : "", "parse-names" : false, "suffix" : "" }, { "dropping-particle" : "", "family" : "Brockmann", "given" : "Anke", "non-dropping-particle" : "", "parse-names" : false, "suffix" : "" }, { "dropping-particle" : "", "family" : "Schmidt", "given" : "Nina", "non-dropping-particle" : "", "parse-names" : false, "suffix" : "" }, { "dropping-particle" : "", "family" : "Irle", "given" : "Inga", "non-dropping-particle" : "", "parse-names" : false, "suffix" : "" }, { "dropping-particle" : "", "family" : "Sacca", "given" : "Barbara", "non-dropping-particle" : "", "parse-names" : false, "suffix" : "" }, { "dropping-particle" : "", "family" : "Niemeyer", "given" : "Christof M", "non-dropping-particle" : "", "parse-names" : false, "suffix" : "" }, { "dropping-particle" : "", "family" : "Brandt", "given" : "Roland", "non-dropping-particle" : "", "parse-names" : false, "suffix" : "" }, { "dropping-particle" : "", "family" : "Ksiezak-Reding", "given" : "Hanna", "non-dropping-particle" : "", "parse-names" : false, "suffix" : "" }, { "dropping-particle" : "", "family" : "Tirniceriu", "given" : "Anca Laura", "non-dropping-particle" : "", "parse-names" : false, "suffix" : "" }, { "dropping-particle" : "", "family" : "Egensperger", "given" : "Rupert", "non-dropping-particle" : "", "parse-names" : false, "suffix" : "" }, { "dropping-particle" : "", "family" : "Baldi", "given" : "Alfonso", "non-dropping-particle" : "", "parse-names" : false, "suffix" : "" }, { "dropping-particle" : "", "family" : "Dehmelt", "given" : "Leif", "non-dropping-particle" : "", "parse-names" : false, "suffix" : "" }, { "dropping-particle" : "", "family" : "Kaiser", "given" : "Markus", "non-dropping-particle" : "", "parse-names" : false, "suffix" : "" }, { "dropping-particle" : "", "family" : "Huber", "given" : "Robert", "non-dropping-particle" : "", "parse-names" : false, "suffix" : "" }, { "dropping-particle" : "", "family" : "Clausen", "given" : "Tim", "non-dropping-particle" : "", "parse-names" : false, "suffix" : "" }, { "dropping-particle" : "", "family" : "Ehrmanna", "given" : "Michael", "non-dropping-particle" : "", "parse-names" : false, "suffix" : "" } ], "container-title" : "Journal of Biological Chemistry", "id" : "ITEM-2", "issue" : "25", "issued" : { "date-parts" : [ [ "2012", "6", "15" ] ] }, "page" : "20931-20941", "publisher" : "American Society for Biochemistry and Molecular Biology", "title" : "Human high temperature requirement serine protease A1 (HTRA1) degrades tau protein aggregates", "type" : "article-journal", "volume" : "287" }, "uris" : [ "http://www.mendeley.com/documents/?uuid=142ccbd2-9283-338e-8532-71c7847d97da" ] } ], "mendeley" : { "formattedCitation" : "&lt;sup&gt;3,8&lt;/sup&gt;", "plainTextFormattedCitation" : "3,8", "previouslyFormattedCitation" : "&lt;sup&gt;3,8&lt;/sup&gt;" }, "properties" : { "noteIndex" : 0 }, "schema" : "https://github.com/citation-style-language/schema/raw/master/csl-citation.json" }</w:instrText>
      </w:r>
      <w:r w:rsidR="007C0BA9">
        <w:rPr>
          <w:rFonts w:ascii="Arial" w:hAnsi="Arial" w:cs="Arial"/>
        </w:rPr>
        <w:fldChar w:fldCharType="separate"/>
      </w:r>
      <w:r w:rsidR="007C0BA9" w:rsidRPr="007C0BA9">
        <w:rPr>
          <w:rFonts w:ascii="Arial" w:hAnsi="Arial" w:cs="Arial"/>
          <w:noProof/>
          <w:vertAlign w:val="superscript"/>
        </w:rPr>
        <w:t>3,8</w:t>
      </w:r>
      <w:r w:rsidR="007C0BA9">
        <w:rPr>
          <w:rFonts w:ascii="Arial" w:hAnsi="Arial" w:cs="Arial"/>
        </w:rPr>
        <w:fldChar w:fldCharType="end"/>
      </w:r>
      <w:r w:rsidR="007C0BA9">
        <w:rPr>
          <w:rFonts w:ascii="Arial" w:hAnsi="Arial" w:cs="Arial"/>
        </w:rPr>
        <w:t xml:space="preserve">, are of particular interest. </w:t>
      </w:r>
      <w:r w:rsidR="00F46B3F" w:rsidRPr="00E521AD">
        <w:rPr>
          <w:rFonts w:ascii="Arial" w:hAnsi="Arial" w:cs="Arial"/>
        </w:rPr>
        <w:t>Htra1 exhibits promiscuity in its substrate selection, both for the PDZ, which is suspected to bind first, and for the proteolytic domain.</w:t>
      </w:r>
      <w:r w:rsidR="00E521AD" w:rsidRPr="00E521AD">
        <w:rPr>
          <w:rFonts w:ascii="Arial" w:hAnsi="Arial" w:cs="Arial"/>
        </w:rPr>
        <w:t xml:space="preserve"> </w:t>
      </w:r>
      <w:r w:rsidR="00E521AD">
        <w:rPr>
          <w:rFonts w:ascii="Arial" w:hAnsi="Arial" w:cs="Arial"/>
        </w:rPr>
        <w:t>T</w:t>
      </w:r>
      <w:r w:rsidR="00E521AD" w:rsidRPr="00E521AD">
        <w:rPr>
          <w:rFonts w:ascii="Arial" w:hAnsi="Arial" w:cs="Arial"/>
        </w:rPr>
        <w:t>he PDZ</w:t>
      </w:r>
      <w:r w:rsidR="00E521AD">
        <w:rPr>
          <w:rFonts w:ascii="Arial" w:hAnsi="Arial" w:cs="Arial"/>
        </w:rPr>
        <w:t xml:space="preserve"> coordinates substrate binding by coordinating the peptide</w:t>
      </w:r>
      <w:r w:rsidR="00E521AD" w:rsidRPr="00E521AD">
        <w:rPr>
          <w:rFonts w:ascii="Arial" w:hAnsi="Arial" w:cs="Arial"/>
        </w:rPr>
        <w:t xml:space="preserve"> into a β-sheet</w:t>
      </w:r>
      <w:r w:rsidR="00E521AD">
        <w:rPr>
          <w:rFonts w:ascii="Arial" w:hAnsi="Arial" w:cs="Arial"/>
        </w:rPr>
        <w:t xml:space="preserve"> </w:t>
      </w:r>
      <w:r w:rsidR="0075636F">
        <w:rPr>
          <w:rFonts w:ascii="Arial" w:hAnsi="Arial" w:cs="Arial"/>
        </w:rPr>
        <w:t>with part</w:t>
      </w:r>
      <w:r w:rsidR="00E521AD">
        <w:rPr>
          <w:rFonts w:ascii="Arial" w:hAnsi="Arial" w:cs="Arial"/>
        </w:rPr>
        <w:t xml:space="preserve"> of the PDZ</w:t>
      </w:r>
      <w:r w:rsidR="0075636F">
        <w:rPr>
          <w:rFonts w:ascii="Arial" w:hAnsi="Arial" w:cs="Arial"/>
        </w:rPr>
        <w:t>,</w:t>
      </w:r>
      <w:r w:rsidR="00E521AD">
        <w:rPr>
          <w:rFonts w:ascii="Arial" w:hAnsi="Arial" w:cs="Arial"/>
        </w:rPr>
        <w:t xml:space="preserve"> </w:t>
      </w:r>
      <w:r w:rsidR="0075636F">
        <w:rPr>
          <w:rFonts w:ascii="Arial" w:hAnsi="Arial" w:cs="Arial"/>
        </w:rPr>
        <w:t>recognizing</w:t>
      </w:r>
      <w:r w:rsidR="00E521AD">
        <w:rPr>
          <w:rFonts w:ascii="Arial" w:hAnsi="Arial" w:cs="Arial"/>
        </w:rPr>
        <w:t xml:space="preserve"> a 4-residue region. </w:t>
      </w:r>
      <w:r w:rsidR="00FC10FB">
        <w:rPr>
          <w:rFonts w:ascii="Arial" w:hAnsi="Arial" w:cs="Arial"/>
        </w:rPr>
        <w:t>An alanine scan demonstrated that the PDZ’s substrate binding affinity, and therefore its selectivity, was highly sensitive to even single point mutations</w:t>
      </w:r>
      <w:r w:rsidR="00FC10FB">
        <w:rPr>
          <w:rFonts w:ascii="Arial" w:hAnsi="Arial" w:cs="Arial"/>
        </w:rPr>
        <w:fldChar w:fldCharType="begin" w:fldLock="1"/>
      </w:r>
      <w:r w:rsidR="0075636F">
        <w:rPr>
          <w:rFonts w:ascii="Arial" w:hAnsi="Arial" w:cs="Arial"/>
        </w:rPr>
        <w:instrText>ADDIN CSL_CITATION { "citationItems" : [ { "id" : "ITEM-1", "itemData" : { "DOI" : "10.1038/nsmb.2013", "ISBN" : "1545-9985 (Electronic)\\n1545-9985 (Linking)", "ISSN" : "15459993", "PMID" : "21297635", "abstract" : "Crystal structures of active and inactive conformations of the human serine protease HTRA1 reveal that substrate binding to the active site is sufficient to stimulate proteolytic activity. HTRA1 attaches to liposomes, digests misfolded proteins into defined fragments and undergoes substrate-mediated oligomer conversion. In contrast to those of other serine proteases, the PDZ domain of HTRA1 is dispensable for activation or lipid attachment, indicative of different underlying mechanistic features.", "author" : [ { "dropping-particle" : "", "family" : "Truebestein", "given" : "Linda", "non-dropping-particle" : "", "parse-names" : false, "suffix" : "" }, { "dropping-particle" : "", "family" : "Tennstaedt", "given" : "Annette", "non-dropping-particle" : "", "parse-names" : false, "suffix" : "" }, { "dropping-particle" : "", "family" : "M\u00f6nig", "given" : "Timon", "non-dropping-particle" : "", "parse-names" : false, "suffix" : "" }, { "dropping-particle" : "", "family" : "Krojer", "given" : "Tobias", "non-dropping-particle" : "", "parse-names" : false, "suffix" : "" }, { "dropping-particle" : "", "family" : "Canellas", "given" : "Flavia", "non-dropping-particle" : "", "parse-names" : false, "suffix" : "" }, { "dropping-particle" : "", "family" : "Kaiser", "given" : "Markus", "non-dropping-particle" : "", "parse-names" : false, "suffix" : "" }, { "dropping-particle" : "", "family" : "Clausen", "given" : "Tim", "non-dropping-particle" : "", "parse-names" : false, "suffix" : "" }, { "dropping-particle" : "", "family" : "Ehrmann", "given" : "Michael", "non-dropping-particle" : "", "parse-names" : false, "suffix" : "" } ], "container-title" : "Nature Structural and Molecular Biology", "id" : "ITEM-1", "issue" : "3", "issued" : { "date-parts" : [ [ "2011", "3", "6" ] ] }, "page" : "386-388", "publisher" : "Nature Publishing Group", "title" : "Substrate-induced remodeling of the active site regulates human HTRA1 activity", "type" : "article-journal", "volume" : "18" }, "uris" : [ "http://www.mendeley.com/documents/?uuid=a71045b3-e965-30a6-8544-f7c1704642c3" ] } ], "mendeley" : { "formattedCitation" : "&lt;sup&gt;7&lt;/sup&gt;", "plainTextFormattedCitation" : "7", "previouslyFormattedCitation" : "&lt;sup&gt;7&lt;/sup&gt;" }, "properties" : { "noteIndex" : 0 }, "schema" : "https://github.com/citation-style-language/schema/raw/master/csl-citation.json" }</w:instrText>
      </w:r>
      <w:r w:rsidR="00FC10FB">
        <w:rPr>
          <w:rFonts w:ascii="Arial" w:hAnsi="Arial" w:cs="Arial"/>
        </w:rPr>
        <w:fldChar w:fldCharType="separate"/>
      </w:r>
      <w:r w:rsidR="00FC10FB" w:rsidRPr="00216D72">
        <w:rPr>
          <w:rFonts w:ascii="Arial" w:hAnsi="Arial" w:cs="Arial"/>
          <w:noProof/>
          <w:vertAlign w:val="superscript"/>
        </w:rPr>
        <w:t>7</w:t>
      </w:r>
      <w:r w:rsidR="00FC10FB">
        <w:rPr>
          <w:rFonts w:ascii="Arial" w:hAnsi="Arial" w:cs="Arial"/>
        </w:rPr>
        <w:fldChar w:fldCharType="end"/>
      </w:r>
      <w:r w:rsidR="00FC10FB">
        <w:rPr>
          <w:rFonts w:ascii="Arial" w:hAnsi="Arial" w:cs="Arial"/>
        </w:rPr>
        <w:t xml:space="preserve">. The native PDZ prefers </w:t>
      </w:r>
      <w:r w:rsidR="00E521AD">
        <w:rPr>
          <w:rFonts w:ascii="Arial" w:hAnsi="Arial" w:cs="Arial"/>
        </w:rPr>
        <w:t>C-terminal peptides with predominantly hydrophobic character</w:t>
      </w:r>
      <w:r w:rsidR="00ED56BE">
        <w:rPr>
          <w:rFonts w:ascii="Arial" w:hAnsi="Arial" w:cs="Arial"/>
        </w:rPr>
        <w:t>, yet some internal regions are also</w:t>
      </w:r>
      <w:r w:rsidR="00FC10FB">
        <w:rPr>
          <w:rFonts w:ascii="Arial" w:hAnsi="Arial" w:cs="Arial"/>
        </w:rPr>
        <w:t xml:space="preserve"> bound</w:t>
      </w:r>
      <w:r w:rsidR="00ED56BE">
        <w:rPr>
          <w:rFonts w:ascii="Arial" w:hAnsi="Arial" w:cs="Arial"/>
        </w:rPr>
        <w:t xml:space="preserve">. </w:t>
      </w:r>
      <w:r w:rsidR="00E36B3A">
        <w:rPr>
          <w:rFonts w:ascii="Arial" w:hAnsi="Arial" w:cs="Arial"/>
        </w:rPr>
        <w:t xml:space="preserve">A study on a similar PDZ protein, </w:t>
      </w:r>
      <w:proofErr w:type="spellStart"/>
      <w:r w:rsidR="00E36B3A" w:rsidRPr="00E36B3A">
        <w:rPr>
          <w:rFonts w:ascii="Arial" w:hAnsi="Arial" w:cs="Arial"/>
        </w:rPr>
        <w:t>nNOS</w:t>
      </w:r>
      <w:proofErr w:type="spellEnd"/>
      <w:r w:rsidR="00E36B3A" w:rsidRPr="00E36B3A">
        <w:rPr>
          <w:rFonts w:ascii="Arial" w:hAnsi="Arial" w:cs="Arial"/>
        </w:rPr>
        <w:t>, indicated that internal region binding was possible if the substrate peptide included a sharp β</w:t>
      </w:r>
      <w:r w:rsidR="00E36B3A">
        <w:rPr>
          <w:rFonts w:ascii="Arial" w:hAnsi="Arial" w:cs="Arial"/>
        </w:rPr>
        <w:t>-finger turn</w:t>
      </w:r>
      <w:r w:rsidR="00A97B00">
        <w:rPr>
          <w:rFonts w:ascii="Arial" w:hAnsi="Arial" w:cs="Arial"/>
        </w:rPr>
        <w:fldChar w:fldCharType="begin" w:fldLock="1"/>
      </w:r>
      <w:r w:rsidR="001C1457">
        <w:rPr>
          <w:rFonts w:ascii="Arial" w:hAnsi="Arial" w:cs="Arial"/>
        </w:rPr>
        <w:instrText>ADDIN CSL_CITATION { "citationItems" : [ { "id" : "ITEM-1", "itemData" : { "DOI" : "10.1126/science.284.5415.812", "ISBN" : "0036-8075 (Print) 0036-8075 (Linking)", "ISSN" : "00368075", "PMID" : "10221915", "abstract" : "The PDZ protein interaction domain of neuronal nitric oxide synthase (nNOS) can heterodimerize with the PDZ domains of postsynaptic density protein 95 and syntrophin through interactions that are not mediated by recognition of a typical carboxyl-terminal motif. The nNOS-syntrophin PDZ complex structure revealed that the domains interact in an unusual linear head-to-tail arrangement. The nNOS PDZ domain has two opposite interaction surfaces-one face has the canonical peptide binding groove, whereas the other has a beta-hairpin \"finger.\" This nNOS beta finger docks in the syntrophin peptide binding groove, mimicking a peptide ligand, except that a sharp beta turn replaces the normally required carboxyl terminus. This structure explains how PDZ domains can participate in diverse interaction modes to assemble protein networks.", "author" : [ { "dropping-particle" : "", "family" : "Hillier", "given" : "Brian J", "non-dropping-particle" : "", "parse-names" : false, "suffix" : "" }, { "dropping-particle" : "", "family" : "Christopherson", "given" : "Karen S", "non-dropping-particle" : "", "parse-names" : false, "suffix" : "" }, { "dropping-particle" : "", "family" : "Prehoda", "given" : "Kenneth E", "non-dropping-particle" : "", "parse-names" : false, "suffix" : "" }, { "dropping-particle" : "", "family" : "Bredt", "given" : "David S", "non-dropping-particle" : "", "parse-names" : false, "suffix" : "" }, { "dropping-particle" : "", "family" : "Lim", "given" : "Wendell A", "non-dropping-particle" : "", "parse-names" : false, "suffix" : "" } ], "container-title" : "Science", "id" : "ITEM-1", "issue" : "5415", "issued" : { "date-parts" : [ [ "1999", "4", "30" ] ] }, "page" : "812-815", "publisher" : "American Association for the Advancement of Science", "title" : "Unexpected modes of PDZ domain scaffolding revealed by structure of nNOS-syntrophin complex", "type" : "article-journal", "volume" : "284" }, "uris" : [ "http://www.mendeley.com/documents/?uuid=8301ed31-22fe-3b55-9c53-9d45dad9f31d" ] } ], "mendeley" : { "formattedCitation" : "&lt;sup&gt;9&lt;/sup&gt;", "plainTextFormattedCitation" : "9", "previouslyFormattedCitation" : "&lt;sup&gt;9&lt;/sup&gt;" }, "properties" : { "noteIndex" : 0 }, "schema" : "https://github.com/citation-style-language/schema/raw/master/csl-citation.json" }</w:instrText>
      </w:r>
      <w:r w:rsidR="00A97B00">
        <w:rPr>
          <w:rFonts w:ascii="Arial" w:hAnsi="Arial" w:cs="Arial"/>
        </w:rPr>
        <w:fldChar w:fldCharType="separate"/>
      </w:r>
      <w:r w:rsidR="00A97B00" w:rsidRPr="00A97B00">
        <w:rPr>
          <w:rFonts w:ascii="Arial" w:hAnsi="Arial" w:cs="Arial"/>
          <w:noProof/>
          <w:vertAlign w:val="superscript"/>
        </w:rPr>
        <w:t>9</w:t>
      </w:r>
      <w:r w:rsidR="00A97B00">
        <w:rPr>
          <w:rFonts w:ascii="Arial" w:hAnsi="Arial" w:cs="Arial"/>
        </w:rPr>
        <w:fldChar w:fldCharType="end"/>
      </w:r>
      <w:r w:rsidR="00A97B00">
        <w:rPr>
          <w:rFonts w:ascii="Arial" w:hAnsi="Arial" w:cs="Arial"/>
        </w:rPr>
        <w:t>. Such a turn</w:t>
      </w:r>
      <w:r w:rsidR="00E36B3A">
        <w:rPr>
          <w:rFonts w:ascii="Arial" w:hAnsi="Arial" w:cs="Arial"/>
        </w:rPr>
        <w:t xml:space="preserve"> is notably absent in the tau fibril structure, in which </w:t>
      </w:r>
      <w:r w:rsidR="00E36B3A" w:rsidRPr="00E36B3A">
        <w:rPr>
          <w:rFonts w:ascii="Arial" w:hAnsi="Arial" w:cs="Arial"/>
        </w:rPr>
        <w:t>β</w:t>
      </w:r>
      <w:r w:rsidR="00E36B3A">
        <w:rPr>
          <w:rFonts w:ascii="Arial" w:hAnsi="Arial" w:cs="Arial"/>
        </w:rPr>
        <w:t xml:space="preserve">-sheets are </w:t>
      </w:r>
      <w:r w:rsidR="00A97B00">
        <w:rPr>
          <w:rFonts w:ascii="Arial" w:hAnsi="Arial" w:cs="Arial"/>
        </w:rPr>
        <w:t xml:space="preserve">formed </w:t>
      </w:r>
      <w:r w:rsidR="00E36B3A">
        <w:rPr>
          <w:rFonts w:ascii="Arial" w:hAnsi="Arial" w:cs="Arial"/>
        </w:rPr>
        <w:t xml:space="preserve">between </w:t>
      </w:r>
      <w:r w:rsidR="00A97B00">
        <w:rPr>
          <w:rFonts w:ascii="Arial" w:hAnsi="Arial" w:cs="Arial"/>
        </w:rPr>
        <w:t>separate chains, leaving the internal binding mode of Htra1 PDZ to the tau fibril an open question.</w:t>
      </w:r>
      <w:r w:rsidR="00216D72">
        <w:rPr>
          <w:rFonts w:ascii="Arial" w:hAnsi="Arial" w:cs="Arial"/>
        </w:rPr>
        <w:t xml:space="preserve"> </w:t>
      </w:r>
    </w:p>
    <w:p w:rsidR="0051037A" w:rsidRDefault="001C1457" w:rsidP="00040329">
      <w:pPr>
        <w:ind w:firstLine="720"/>
        <w:jc w:val="both"/>
        <w:rPr>
          <w:rFonts w:ascii="Arial" w:hAnsi="Arial" w:cs="Arial"/>
        </w:rPr>
      </w:pPr>
      <w:r>
        <w:rPr>
          <w:rFonts w:ascii="Arial" w:hAnsi="Arial" w:cs="Arial"/>
        </w:rPr>
        <w:t xml:space="preserve">In bacterial homolog </w:t>
      </w:r>
      <w:proofErr w:type="spellStart"/>
      <w:r>
        <w:rPr>
          <w:rFonts w:ascii="Arial" w:hAnsi="Arial" w:cs="Arial"/>
        </w:rPr>
        <w:t>DegS</w:t>
      </w:r>
      <w:proofErr w:type="spellEnd"/>
      <w:r>
        <w:rPr>
          <w:rFonts w:ascii="Arial" w:hAnsi="Arial" w:cs="Arial"/>
        </w:rPr>
        <w:t>, it was shown that before binding a substrate peptide, the PDZ domain formed an interaction with loop L3 of the proteolytic domain, which in turn produced a steric change to the catalytic triad, inactivating it. Activity was restored when the PDZ underwent steric changes in response to substrate binding, which produced a corresponding allosteric change to the proteolytic domain</w:t>
      </w:r>
      <w:r>
        <w:rPr>
          <w:rFonts w:ascii="Arial" w:hAnsi="Arial" w:cs="Arial"/>
        </w:rPr>
        <w:fldChar w:fldCharType="begin" w:fldLock="1"/>
      </w:r>
      <w:r w:rsidR="004C5AE5">
        <w:rPr>
          <w:rFonts w:ascii="Arial" w:hAnsi="Arial" w:cs="Arial"/>
        </w:rPr>
        <w:instrText>ADDIN CSL_CITATION { "citationItems" : [ { "id" : "ITEM-1", "itemData" : { "DOI" : "10.1016/S0092-8674(04)00454-4", "ISBN" : "0092-8674 (Print)\\n0092-8674 (Linking)", "ISSN" : "00928674", "PMID" : "15137941", "abstract" : "Gram-negative bacteria respond to misfolded proteins in the cell envelope with the \u03c3E-driven expression of periplasmic proteases/chaperones. Activation of \u03c3E is controlled by a proteolytic cascade that is initiated by the DegS protease. DegS senses misfolded protein in the periplasm, undergoes autoactivation, and cleaves the antisigma factor RseA. Here, we present the crystal structures of three distinct states of DegS from E. coli. DegS alone exists in a catalytically inactive form. Binding of stress-signaling peptides to its PDZ domain induces a series of conformational changes that activates protease function. Backsoaking of crystals containing the DegS-activator complex revealed the presence of an active/inactive hybrid structure and demonstrated the reversibility of activation. Taken together, the structural data illustrate in molecular detail how DegS acts as a periplasmic stress sensor. Our results suggest a novel regulatory role for PDZ domains and unveil a novel mechanism of reversible protease activation.", "author" : [ { "dropping-particle" : "", "family" : "Wilken", "given" : "Corinna", "non-dropping-particle" : "", "parse-names" : false, "suffix" : "" }, { "dropping-particle" : "", "family" : "Kitzing", "given" : "Karina", "non-dropping-particle" : "", "parse-names" : false, "suffix" : "" }, { "dropping-particle" : "", "family" : "Kurzbauer", "given" : "Robert", "non-dropping-particle" : "", "parse-names" : false, "suffix" : "" }, { "dropping-particle" : "", "family" : "Ehrmann", "given" : "Michael", "non-dropping-particle" : "", "parse-names" : false, "suffix" : "" }, { "dropping-particle" : "", "family" : "Clausen", "given" : "Tim", "non-dropping-particle" : "", "parse-names" : false, "suffix" : "" } ], "container-title" : "Cell", "id" : "ITEM-1", "issue" : "4", "issued" : { "date-parts" : [ [ "2004", "5", "14" ] ] }, "page" : "483-494", "publisher" : "Cell Press", "title" : "Crystal Structure of the DegS Stress Sensor: How a PDZ Domain Recognizes Misfolded Protein and Activates a Protease", "type" : "article-journal", "volume" : "117" }, "uris" : [ "http://www.mendeley.com/documents/?uuid=bd86d94e-47fc-3276-9e95-afde9919bf01" ] }, { "id" : "ITEM-2", "itemData" : { "DOI" : "10.1073/pnas.1502372112", "ISBN" : "0027-8424", "ISSN" : "0027-8424", "PMID" : "25733864", "abstract" : "Escherichia coli senses envelope stress using a signaling cascade initiated when DegS cleaves a transmembrane inhibitor of a transcriptional activator for response genes. Each subunit of the DegS trimer contains a protease domain and a PDZ domain. During stress, unassembled outer-membrane proteins (OMPs) accumulate in the periplasm and their C-terminal peptides activate DegS by binding to its PDZ domains. In the absence of stress, autoinhibitory interactions, mediated by the L3 loop, stabilize inactive DegS, but it is not known how this autoinhibition is reversed during activation. Here, we show that OMP peptides initiate a steric clash between the PDZ domain and the L3 loop that results in a structural rearrangement of the loop and breaking of autoinhibitory interactions. Many different L3-loop sequences are compatible with activation but those that relieve the steric clash reduce OMP activation dramatically. Our results provide a compelling molecular mechanism for allosteric activation of DegS by OMP-peptide binding.", "author" : [ { "dropping-particle" : "", "family" : "Regt", "given" : "Anna K", "non-dropping-particle" : "de", "parse-names" : false, "suffix" : "" }, { "dropping-particle" : "", "family" : "Baker", "given" : "Tania A", "non-dropping-particle" : "", "parse-names" : false, "suffix" : "" }, { "dropping-particle" : "", "family" : "Sauer", "given" : "Robert T", "non-dropping-particle" : "", "parse-names" : false, "suffix" : "" } ], "container-title" : "Proceedings of the National Academy of Sciences", "id" : "ITEM-2", "issue" : "11", "issued" : { "date-parts" : [ [ "2015", "3", "17" ] ] }, "page" : "3326-3331", "publisher" : "National Academy of Sciences", "title" : "Steric clashes with bound OMP peptides activate the DegS stress-response protease", "type" : "article-journal", "volume" : "112" }, "uris" : [ "http://www.mendeley.com/documents/?uuid=ac03c633-55fb-3347-86a1-6e2edaccd800" ] } ], "mendeley" : { "formattedCitation" : "&lt;sup&gt;10,11&lt;/sup&gt;", "plainTextFormattedCitation" : "10,11", "previouslyFormattedCitation" : "&lt;sup&gt;10,11&lt;/sup&gt;" }, "properties" : { "noteIndex" : 0 }, "schema" : "https://github.com/citation-style-language/schema/raw/master/csl-citation.json" }</w:instrText>
      </w:r>
      <w:r>
        <w:rPr>
          <w:rFonts w:ascii="Arial" w:hAnsi="Arial" w:cs="Arial"/>
        </w:rPr>
        <w:fldChar w:fldCharType="separate"/>
      </w:r>
      <w:r w:rsidRPr="001C1457">
        <w:rPr>
          <w:rFonts w:ascii="Arial" w:hAnsi="Arial" w:cs="Arial"/>
          <w:noProof/>
          <w:vertAlign w:val="superscript"/>
        </w:rPr>
        <w:t>10,11</w:t>
      </w:r>
      <w:r>
        <w:rPr>
          <w:rFonts w:ascii="Arial" w:hAnsi="Arial" w:cs="Arial"/>
        </w:rPr>
        <w:fldChar w:fldCharType="end"/>
      </w:r>
      <w:r>
        <w:rPr>
          <w:rFonts w:ascii="Arial" w:hAnsi="Arial" w:cs="Arial"/>
        </w:rPr>
        <w:t xml:space="preserve">. </w:t>
      </w:r>
      <w:r w:rsidR="00D543FA">
        <w:rPr>
          <w:rFonts w:ascii="Arial" w:hAnsi="Arial" w:cs="Arial"/>
        </w:rPr>
        <w:t>However, that is not the regulatory mechanism for Htra1. It was demonstrated t</w:t>
      </w:r>
      <w:r w:rsidR="004C5AE5">
        <w:rPr>
          <w:rFonts w:ascii="Arial" w:hAnsi="Arial" w:cs="Arial"/>
        </w:rPr>
        <w:t>hat Htra1 protease domain exhibited catalytic activity</w:t>
      </w:r>
      <w:r w:rsidR="004F3D4E">
        <w:rPr>
          <w:rFonts w:ascii="Arial" w:hAnsi="Arial" w:cs="Arial"/>
        </w:rPr>
        <w:t xml:space="preserve"> when the PDZ was deleted, though there was a change in the length of hydrolysis products</w:t>
      </w:r>
      <w:r w:rsidR="004C5AE5">
        <w:rPr>
          <w:rFonts w:ascii="Arial" w:hAnsi="Arial" w:cs="Arial"/>
        </w:rPr>
        <w:fldChar w:fldCharType="begin" w:fldLock="1"/>
      </w:r>
      <w:r w:rsidR="004C5AE5">
        <w:rPr>
          <w:rFonts w:ascii="Arial" w:hAnsi="Arial" w:cs="Arial"/>
        </w:rPr>
        <w:instrText>ADDIN CSL_CITATION { "citationItems" : [ { "id" : "ITEM-1", "itemData" : { "DOI" : "10.1038/nsmb.2013", "ISBN" : "1545-9985 (Electronic)\\n1545-9985 (Linking)", "ISSN" : "15459993", "PMID" : "21297635", "abstract" : "Crystal structures of active and inactive conformations of the human serine protease HTRA1 reveal that substrate binding to the active site is sufficient to stimulate proteolytic activity. HTRA1 attaches to liposomes, digests misfolded proteins into defined fragments and undergoes substrate-mediated oligomer conversion. In contrast to those of other serine proteases, the PDZ domain of HTRA1 is dispensable for activation or lipid attachment, indicative of different underlying mechanistic features.", "author" : [ { "dropping-particle" : "", "family" : "Truebestein", "given" : "Linda", "non-dropping-particle" : "", "parse-names" : false, "suffix" : "" }, { "dropping-particle" : "", "family" : "Tennstaedt", "given" : "Annette", "non-dropping-particle" : "", "parse-names" : false, "suffix" : "" }, { "dropping-particle" : "", "family" : "M\u00f6nig", "given" : "Timon", "non-dropping-particle" : "", "parse-names" : false, "suffix" : "" }, { "dropping-particle" : "", "family" : "Krojer", "given" : "Tobias", "non-dropping-particle" : "", "parse-names" : false, "suffix" : "" }, { "dropping-particle" : "", "family" : "Canellas", "given" : "Flavia", "non-dropping-particle" : "", "parse-names" : false, "suffix" : "" }, { "dropping-particle" : "", "family" : "Kaiser", "given" : "Markus", "non-dropping-particle" : "", "parse-names" : false, "suffix" : "" }, { "dropping-particle" : "", "family" : "Clausen", "given" : "Tim", "non-dropping-particle" : "", "parse-names" : false, "suffix" : "" }, { "dropping-particle" : "", "family" : "Ehrmann", "given" : "Michael", "non-dropping-particle" : "", "parse-names" : false, "suffix" : "" } ], "container-title" : "Nature Structural and Molecular Biology", "id" : "ITEM-1", "issue" : "3", "issued" : { "date-parts" : [ [ "2011", "3", "6" ] ] }, "page" : "386-388", "publisher" : "Nature Publishing Group", "title" : "Substrate-induced remodeling of the active site regulates human HTRA1 activity", "type" : "article-journal", "volume" : "18" }, "uris" : [ "http://www.mendeley.com/documents/?uuid=a71045b3-e965-30a6-8544-f7c1704642c3" ] }, { "id" : "ITEM-2", "itemData" : { "DOI" : "10.1038/nchembio.1931", "ISSN" : "15524469", "PMID" : "26436840", "abstract" : "Excessive aggregation of proteins has a major impact on cell fate and is a hallmark of amyloid diseases in humans. To resolve insoluble deposits and to maintain protein homeostasis, all cells use dedicated protein disaggregation, protein folding and protein degradation factors. Despite intense recent research, the underlying mechanisms controlling this key metabolic event are not well understood. Here, we analyzed how a single factor, the highly conserved serine protease HTRA1, degrades amyloid fibrils in an ATP-independent manner. This PDZ protease solubilizes protein fibrils and disintegrates the fibrillar core structure, allowing productive interaction of aggregated polypeptides with the active site for rapid degradation. The aggregate burden in a cellular model of cytoplasmic tau aggregation is thus reduced. Mechanistic aspects of ATP-independent proteolysis and its implications in amyloid diseases are discussed.", "author" : [ { "dropping-particle" : "", "family" : "Poepsel", "given" : "Simon", "non-dropping-particle" : "", "parse-names" : false, "suffix" : "" }, { "dropping-particle" : "", "family" : "Sprengel", "given" : "Andreas", "non-dropping-particle" : "", "parse-names" : false, "suffix" : "" }, { "dropping-particle" : "", "family" : "Sacca", "given" : "Barbara", "non-dropping-particle" : "", "parse-names" : false, "suffix" : "" }, { "dropping-particle" : "", "family" : "Kaschani", "given" : "Farnusch", "non-dropping-particle" : "", "parse-names" : false, "suffix" : "" }, { "dropping-particle" : "", "family" : "Kaiser", "given" : "Markus", "non-dropping-particle" : "", "parse-names" : false, "suffix" : "" }, { "dropping-particle" : "", "family" : "Gatsogiannis", "given" : "Christos", "non-dropping-particle" : "", "parse-names" : false, "suffix" : "" }, { "dropping-particle" : "", "family" : "Raunser", "given" : "Stefan", "non-dropping-particle" : "", "parse-names" : false, "suffix" : "" }, { "dropping-particle" : "", "family" : "Clausen", "given" : "Tim", "non-dropping-particle" : "", "parse-names" : false, "suffix" : "" }, { "dropping-particle" : "", "family" : "Ehrmann", "given" : "Michael", "non-dropping-particle" : "", "parse-names" : false, "suffix" : "" } ], "container-title" : "Nature Chemical Biology", "id" : "ITEM-2", "issue" : "11", "issued" : { "date-parts" : [ [ "2015" ] ] }, "page" : "862-869", "title" : "Determinants of amyloid fibril degradation by the PDZ protease HTRA1", "type" : "article-journal", "volume" : "11" }, "uris" : [ "http://www.mendeley.com/documents/?uuid=9feed631-7876-38de-9ef5-284a6bfa0f30" ] } ], "mendeley" : { "formattedCitation" : "&lt;sup&gt;7,8&lt;/sup&gt;", "plainTextFormattedCitation" : "7,8", "previouslyFormattedCitation" : "&lt;sup&gt;7,8&lt;/sup&gt;" }, "properties" : { "noteIndex" : 0 }, "schema" : "https://github.com/citation-style-language/schema/raw/master/csl-citation.json" }</w:instrText>
      </w:r>
      <w:r w:rsidR="004C5AE5">
        <w:rPr>
          <w:rFonts w:ascii="Arial" w:hAnsi="Arial" w:cs="Arial"/>
        </w:rPr>
        <w:fldChar w:fldCharType="separate"/>
      </w:r>
      <w:r w:rsidR="004C5AE5" w:rsidRPr="004C5AE5">
        <w:rPr>
          <w:rFonts w:ascii="Arial" w:hAnsi="Arial" w:cs="Arial"/>
          <w:noProof/>
          <w:vertAlign w:val="superscript"/>
        </w:rPr>
        <w:t>7,8</w:t>
      </w:r>
      <w:r w:rsidR="004C5AE5">
        <w:rPr>
          <w:rFonts w:ascii="Arial" w:hAnsi="Arial" w:cs="Arial"/>
        </w:rPr>
        <w:fldChar w:fldCharType="end"/>
      </w:r>
      <w:r w:rsidR="004C5AE5">
        <w:rPr>
          <w:rFonts w:ascii="Arial" w:hAnsi="Arial" w:cs="Arial"/>
        </w:rPr>
        <w:t>, and though the full trimeric structure has not been determined in high resolution, SAXS experiments suggest that the PDZ domains are positioned far from the catalytic structure</w:t>
      </w:r>
      <w:r w:rsidR="004C5AE5">
        <w:rPr>
          <w:rFonts w:ascii="Arial" w:hAnsi="Arial" w:cs="Arial"/>
        </w:rPr>
        <w:fldChar w:fldCharType="begin" w:fldLock="1"/>
      </w:r>
      <w:r w:rsidR="00216D72">
        <w:rPr>
          <w:rFonts w:ascii="Arial" w:hAnsi="Arial" w:cs="Arial"/>
        </w:rPr>
        <w:instrText>ADDIN CSL_CITATION { "citationItems" : [ { "id" : "ITEM-1", "itemData" : { "DOI" : "10.1016/j.str.2012.03.021", "ISBN" : "1878-4186 (Electronic)\\r0969-2126 (Linking)", "ISSN" : "09692126", "PMID" : "22578544", "abstract" : "The homotrimeric human serine protease HtrA1 is homologous to bacterial HtrA proteases regarding the trypsin-like catalytic and PDZ domains but differs by the presence of an N-terminal domain with IGFBP and Kazal homology. The crystal structures and SAXS analysis presented herein reveal the rare tandem of IGFBP- and Kazal-like modules, a protease active site that adopts a competent conformation in the absence of substrate or inhibitor and a model for the intact protein in solution. Highly sensitive enzymatic assays and binding studies demonstrate that the N-terminal tandem has no apparent effect on protease activity, and in accordance with the structure-based predictions, neither the IGFBP- nor Kazal-like module retains the function of their prototype proteins. Our structures of the unliganded HtrA1 active site suggest two-state equilibrium and a \"conformational selection\" model, in which substrate binds to the active conformer. \u00a9 2012 Elsevier Ltd All rights reserved.", "author" : [ { "dropping-particle" : "", "family" : "Eigenbrot", "given" : "Charles", "non-dropping-particle" : "", "parse-names" : false, "suffix" : "" }, { "dropping-particle" : "", "family" : "Ultsch", "given" : "Mark", "non-dropping-particle" : "", "parse-names" : false, "suffix" : "" }, { "dropping-particle" : "", "family" : "Lipari", "given" : "Michael T", "non-dropping-particle" : "", "parse-names" : false, "suffix" : "" }, { "dropping-particle" : "", "family" : "Moran", "given" : "Paul", "non-dropping-particle" : "", "parse-names" : false, "suffix" : "" }, { "dropping-particle" : "", "family" : "Lin", "given" : "S Jack", "non-dropping-particle" : "", "parse-names" : false, "suffix" : "" }, { "dropping-particle" : "", "family" : "Ganesan", "given" : "Rajkumar", "non-dropping-particle" : "", "parse-names" : false, "suffix" : "" }, { "dropping-particle" : "", "family" : "Quan", "given" : "Clifford", "non-dropping-particle" : "", "parse-names" : false, "suffix" : "" }, { "dropping-particle" : "", "family" : "Tom", "given" : "Jeffrey", "non-dropping-particle" : "", "parse-names" : false, "suffix" : "" }, { "dropping-particle" : "", "family" : "Sandoval", "given" : "Wendy", "non-dropping-particle" : "", "parse-names" : false, "suffix" : "" }, { "dropping-particle" : "", "family" : "Lookeren Campagne", "given" : "Menno", "non-dropping-particle" : "Van", "parse-names" : false, "suffix" : "" }, { "dropping-particle" : "", "family" : "Kirchhofer", "given" : "Daniel", "non-dropping-particle" : "", "parse-names" : false, "suffix" : "" } ], "container-title" : "Structure", "id" : "ITEM-1", "issue" : "6", "issued" : { "date-parts" : [ [ "2012" ] ] }, "page" : "1040-1050", "title" : "Structural and functional analysis of HtrA1 and its subdomains", "type" : "article-journal", "volume" : "20" }, "uris" : [ "http://www.mendeley.com/documents/?uuid=3a503cbe-3936-3b57-9e3f-ac3b582d3799" ] } ], "mendeley" : { "formattedCitation" : "&lt;sup&gt;4&lt;/sup&gt;", "plainTextFormattedCitation" : "4", "previouslyFormattedCitation" : "&lt;sup&gt;4&lt;/sup&gt;" }, "properties" : { "noteIndex" : 0 }, "schema" : "https://github.com/citation-style-language/schema/raw/master/csl-citation.json" }</w:instrText>
      </w:r>
      <w:r w:rsidR="004C5AE5">
        <w:rPr>
          <w:rFonts w:ascii="Arial" w:hAnsi="Arial" w:cs="Arial"/>
        </w:rPr>
        <w:fldChar w:fldCharType="separate"/>
      </w:r>
      <w:r w:rsidR="004C5AE5" w:rsidRPr="004C5AE5">
        <w:rPr>
          <w:rFonts w:ascii="Arial" w:hAnsi="Arial" w:cs="Arial"/>
          <w:noProof/>
          <w:vertAlign w:val="superscript"/>
        </w:rPr>
        <w:t>4</w:t>
      </w:r>
      <w:r w:rsidR="004C5AE5">
        <w:rPr>
          <w:rFonts w:ascii="Arial" w:hAnsi="Arial" w:cs="Arial"/>
        </w:rPr>
        <w:fldChar w:fldCharType="end"/>
      </w:r>
      <w:r w:rsidR="004C5AE5">
        <w:rPr>
          <w:rFonts w:ascii="Arial" w:hAnsi="Arial" w:cs="Arial"/>
        </w:rPr>
        <w:t>.</w:t>
      </w:r>
      <w:r w:rsidR="002E7D98">
        <w:rPr>
          <w:rFonts w:ascii="Arial" w:hAnsi="Arial" w:cs="Arial"/>
        </w:rPr>
        <w:t xml:space="preserve"> </w:t>
      </w:r>
    </w:p>
    <w:p w:rsidR="00A97B00" w:rsidRDefault="0051037A" w:rsidP="00040329">
      <w:pPr>
        <w:ind w:firstLine="720"/>
        <w:jc w:val="both"/>
        <w:rPr>
          <w:rFonts w:ascii="Arial" w:hAnsi="Arial" w:cs="Arial"/>
        </w:rPr>
      </w:pPr>
      <w:r>
        <w:rPr>
          <w:rFonts w:ascii="Arial" w:hAnsi="Arial" w:cs="Arial"/>
        </w:rPr>
        <w:t>T</w:t>
      </w:r>
      <w:r w:rsidR="006816A6">
        <w:rPr>
          <w:rFonts w:ascii="Arial" w:hAnsi="Arial" w:cs="Arial"/>
        </w:rPr>
        <w:t xml:space="preserve">he </w:t>
      </w:r>
      <w:r w:rsidR="0075636F">
        <w:rPr>
          <w:rFonts w:ascii="Arial" w:hAnsi="Arial" w:cs="Arial"/>
        </w:rPr>
        <w:t>presence or absence of the N-terminal domain seems to have little impact on catalytic activity</w:t>
      </w:r>
      <w:r>
        <w:rPr>
          <w:rFonts w:ascii="Arial" w:hAnsi="Arial" w:cs="Arial"/>
        </w:rPr>
        <w:t xml:space="preserve"> on tau</w:t>
      </w:r>
      <w:r w:rsidR="0075636F">
        <w:rPr>
          <w:rFonts w:ascii="Arial" w:hAnsi="Arial" w:cs="Arial"/>
        </w:rPr>
        <w:t>, so its role is still unknown.</w:t>
      </w:r>
      <w:r w:rsidR="00040329">
        <w:rPr>
          <w:rFonts w:ascii="Arial" w:hAnsi="Arial" w:cs="Arial"/>
        </w:rPr>
        <w:t xml:space="preserve"> Instead, it was thought that catalytic activity in the protease domain was activated by </w:t>
      </w:r>
      <w:r w:rsidR="0089587E">
        <w:rPr>
          <w:rFonts w:ascii="Arial" w:hAnsi="Arial" w:cs="Arial"/>
        </w:rPr>
        <w:t>induced fit</w:t>
      </w:r>
      <w:r w:rsidR="00040329">
        <w:rPr>
          <w:rFonts w:ascii="Arial" w:hAnsi="Arial" w:cs="Arial"/>
        </w:rPr>
        <w:fldChar w:fldCharType="begin" w:fldLock="1"/>
      </w:r>
      <w:r w:rsidR="00040329">
        <w:rPr>
          <w:rFonts w:ascii="Arial" w:hAnsi="Arial" w:cs="Arial"/>
        </w:rPr>
        <w:instrText>ADDIN CSL_CITATION { "citationItems" : [ { "id" : "ITEM-1", "itemData" : { "DOI" : "10.1074/jbc.M111.316232", "ISBN" : "2093120941", "ISSN" : "00219258", "PMID" : "22535953", "abstract" : "Protective proteases are key elements of protein quality control pathways that are up-regulated, for example, under various protein folding stresses. These proteases are employed to prevent the accumulation and aggregation of misfolded proteins that can impose severe damage to cells. The high temperature requirement A (HtrA) family of serine proteases has evolved to perform important aspects of ATP-independent protein quality control. So far, however, no HtrA protease is known that degrades protein aggregates. We show here that human HTRA1 degrades aggregated and fibrillar tau, a protein that is critically involved in various neurological disorders. Neuronal cells and patient brains accumulate less tau, neurofibrillary tangles, and neuritic plaques, respectively, when HTRA1 is expressed at elevated levels. Furthermore, HTRA1 mRNA and HTRA1 activity are up-regulated in response to elevated tau concentrations. These data suggest that HTRA1 is performing regulated proteolysis during protein quality control, the implications of which are discussed.", "author" : [ { "dropping-particle" : "", "family" : "Tennstaedt", "given" : "Annette", "non-dropping-particle" : "", "parse-names" : false, "suffix" : "" }, { "dropping-particle" : "", "family" : "Popsel", "given" : "Simon", "non-dropping-particle" : "", "parse-names" : false, "suffix" : "" }, { "dropping-particle" : "", "family" : "Truebestein", "given" : "Linda", "non-dropping-particle" : "", "parse-names" : false, "suffix" : "" }, { "dropping-particle" : "", "family" : "Hauske", "given" : "Patrick", "non-dropping-particle" : "", "parse-names" : false, "suffix" : "" }, { "dropping-particle" : "", "family" : "Brockmann", "given" : "Anke", "non-dropping-particle" : "", "parse-names" : false, "suffix" : "" }, { "dropping-particle" : "", "family" : "Schmidt", "given" : "Nina", "non-dropping-particle" : "", "parse-names" : false, "suffix" : "" }, { "dropping-particle" : "", "family" : "Irle", "given" : "Inga", "non-dropping-particle" : "", "parse-names" : false, "suffix" : "" }, { "dropping-particle" : "", "family" : "Sacca", "given" : "Barbara", "non-dropping-particle" : "", "parse-names" : false, "suffix" : "" }, { "dropping-particle" : "", "family" : "Niemeyer", "given" : "Christof M", "non-dropping-particle" : "", "parse-names" : false, "suffix" : "" }, { "dropping-particle" : "", "family" : "Brandt", "given" : "Roland", "non-dropping-particle" : "", "parse-names" : false, "suffix" : "" }, { "dropping-particle" : "", "family" : "Ksiezak-Reding", "given" : "Hanna", "non-dropping-particle" : "", "parse-names" : false, "suffix" : "" }, { "dropping-particle" : "", "family" : "Tirniceriu", "given" : "Anca Laura", "non-dropping-particle" : "", "parse-names" : false, "suffix" : "" }, { "dropping-particle" : "", "family" : "Egensperger", "given" : "Rupert", "non-dropping-particle" : "", "parse-names" : false, "suffix" : "" }, { "dropping-particle" : "", "family" : "Baldi", "given" : "Alfonso", "non-dropping-particle" : "", "parse-names" : false, "suffix" : "" }, { "dropping-particle" : "", "family" : "Dehmelt", "given" : "Leif", "non-dropping-particle" : "", "parse-names" : false, "suffix" : "" }, { "dropping-particle" : "", "family" : "Kaiser", "given" : "Markus", "non-dropping-particle" : "", "parse-names" : false, "suffix" : "" }, { "dropping-particle" : "", "family" : "Huber", "given" : "Robert", "non-dropping-particle" : "", "parse-names" : false, "suffix" : "" }, { "dropping-particle" : "", "family" : "Clausen", "given" : "Tim", "non-dropping-particle" : "", "parse-names" : false, "suffix" : "" }, { "dropping-particle" : "", "family" : "Ehrmanna", "given" : "Michael", "non-dropping-particle" : "", "parse-names" : false, "suffix" : "" } ], "container-title" : "Journal of Biological Chemistry", "id" : "ITEM-1", "issue" : "25", "issued" : { "date-parts" : [ [ "2012", "6", "15" ] ] }, "page" : "20931-20941", "publisher" : "American Society for Biochemistry and Molecular Biology", "title" : "Human high temperature requirement serine protease A1 (HTRA1) degrades tau protein aggregates", "type" : "article-journal", "volume" : "287" }, "uris" : [ "http://www.mendeley.com/documents/?uuid=142ccbd2-9283-338e-8532-71c7847d97da" ] }, { "id" : "ITEM-2", "itemData" : { "DOI" : "10.1038/nsmb.2013", "ISBN" : "1545-9985 (Electronic)\\n1545-9985 (Linking)", "ISSN" : "15459993", "PMID" : "21297635", "abstract" : "Crystal structures of active and inactive conformations of the human serine protease HTRA1 reveal that substrate binding to the active site is sufficient to stimulate proteolytic activity. HTRA1 attaches to liposomes, digests misfolded proteins into defined fragments and undergoes substrate-mediated oligomer conversion. In contrast to those of other serine proteases, the PDZ domain of HTRA1 is dispensable for activation or lipid attachment, indicative of different underlying mechanistic features.", "author" : [ { "dropping-particle" : "", "family" : "Truebestein", "given" : "Linda", "non-dropping-particle" : "", "parse-names" : false, "suffix" : "" }, { "dropping-particle" : "", "family" : "Tennstaedt", "given" : "Annette", "non-dropping-particle" : "", "parse-names" : false, "suffix" : "" }, { "dropping-particle" : "", "family" : "M\u00f6nig", "given" : "Timon", "non-dropping-particle" : "", "parse-names" : false, "suffix" : "" }, { "dropping-particle" : "", "family" : "Krojer", "given" : "Tobias", "non-dropping-particle" : "", "parse-names" : false, "suffix" : "" }, { "dropping-particle" : "", "family" : "Canellas", "given" : "Flavia", "non-dropping-particle" : "", "parse-names" : false, "suffix" : "" }, { "dropping-particle" : "", "family" : "Kaiser", "given" : "Markus", "non-dropping-particle" : "", "parse-names" : false, "suffix" : "" }, { "dropping-particle" : "", "family" : "Clausen", "given" : "Tim", "non-dropping-particle" : "", "parse-names" : false, "suffix" : "" }, { "dropping-particle" : "", "family" : "Ehrmann", "given" : "Michael", "non-dropping-particle" : "", "parse-names" : false, "suffix" : "" } ], "container-title" : "Nature Structural and Molecular Biology", "id" : "ITEM-2", "issue" : "3", "issued" : { "date-parts" : [ [ "2011", "3", "6" ] ] }, "page" : "386-388", "publisher" : "Nature Publishing Group", "title" : "Substrate-induced remodeling of the active site regulates human HTRA1 activity", "type" : "article-journal", "volume" : "18" }, "uris" : [ "http://www.mendeley.com/documents/?uuid=a71045b3-e965-30a6-8544-f7c1704642c3" ] } ], "mendeley" : { "formattedCitation" : "&lt;sup&gt;3,7&lt;/sup&gt;", "plainTextFormattedCitation" : "3,7", "previouslyFormattedCitation" : "&lt;sup&gt;3,7&lt;/sup&gt;" }, "properties" : { "noteIndex" : 0 }, "schema" : "https://github.com/citation-style-language/schema/raw/master/csl-citation.json" }</w:instrText>
      </w:r>
      <w:r w:rsidR="00040329">
        <w:rPr>
          <w:rFonts w:ascii="Arial" w:hAnsi="Arial" w:cs="Arial"/>
        </w:rPr>
        <w:fldChar w:fldCharType="separate"/>
      </w:r>
      <w:r w:rsidR="00040329" w:rsidRPr="00040329">
        <w:rPr>
          <w:rFonts w:ascii="Arial" w:hAnsi="Arial" w:cs="Arial"/>
          <w:noProof/>
          <w:vertAlign w:val="superscript"/>
        </w:rPr>
        <w:t>3,7</w:t>
      </w:r>
      <w:r w:rsidR="00040329">
        <w:rPr>
          <w:rFonts w:ascii="Arial" w:hAnsi="Arial" w:cs="Arial"/>
        </w:rPr>
        <w:fldChar w:fldCharType="end"/>
      </w:r>
      <w:r w:rsidR="00040329">
        <w:rPr>
          <w:rFonts w:ascii="Arial" w:hAnsi="Arial" w:cs="Arial"/>
        </w:rPr>
        <w:t xml:space="preserve">. However, it was shown that even in the absence of substrate peptide or peripheral domains, the proteolytic domain samples both active and </w:t>
      </w:r>
      <w:r w:rsidR="00040329">
        <w:rPr>
          <w:rFonts w:ascii="Arial" w:hAnsi="Arial" w:cs="Arial"/>
        </w:rPr>
        <w:lastRenderedPageBreak/>
        <w:t>inactive structures, suggesting an equilibrium between several low energy states in solution</w:t>
      </w:r>
      <w:r w:rsidR="00040329">
        <w:rPr>
          <w:rFonts w:ascii="Arial" w:hAnsi="Arial" w:cs="Arial"/>
        </w:rPr>
        <w:fldChar w:fldCharType="begin" w:fldLock="1"/>
      </w:r>
      <w:r w:rsidR="0089587E">
        <w:rPr>
          <w:rFonts w:ascii="Arial" w:hAnsi="Arial" w:cs="Arial"/>
        </w:rPr>
        <w:instrText>ADDIN CSL_CITATION { "citationItems" : [ { "id" : "ITEM-1", "itemData" : { "DOI" : "10.1016/j.str.2012.03.021", "ISBN" : "1878-4186 (Electronic)\\r0969-2126 (Linking)", "ISSN" : "09692126", "PMID" : "22578544", "abstract" : "The homotrimeric human serine protease HtrA1 is homologous to bacterial HtrA proteases regarding the trypsin-like catalytic and PDZ domains but differs by the presence of an N-terminal domain with IGFBP and Kazal homology. The crystal structures and SAXS analysis presented herein reveal the rare tandem of IGFBP- and Kazal-like modules, a protease active site that adopts a competent conformation in the absence of substrate or inhibitor and a model for the intact protein in solution. Highly sensitive enzymatic assays and binding studies demonstrate that the N-terminal tandem has no apparent effect on protease activity, and in accordance with the structure-based predictions, neither the IGFBP- nor Kazal-like module retains the function of their prototype proteins. Our structures of the unliganded HtrA1 active site suggest two-state equilibrium and a \"conformational selection\" model, in which substrate binds to the active conformer. \u00a9 2012 Elsevier Ltd All rights reserved.", "author" : [ { "dropping-particle" : "", "family" : "Eigenbrot", "given" : "Charles", "non-dropping-particle" : "", "parse-names" : false, "suffix" : "" }, { "dropping-particle" : "", "family" : "Ultsch", "given" : "Mark", "non-dropping-particle" : "", "parse-names" : false, "suffix" : "" }, { "dropping-particle" : "", "family" : "Lipari", "given" : "Michael T", "non-dropping-particle" : "", "parse-names" : false, "suffix" : "" }, { "dropping-particle" : "", "family" : "Moran", "given" : "Paul", "non-dropping-particle" : "", "parse-names" : false, "suffix" : "" }, { "dropping-particle" : "", "family" : "Lin", "given" : "S Jack", "non-dropping-particle" : "", "parse-names" : false, "suffix" : "" }, { "dropping-particle" : "", "family" : "Ganesan", "given" : "Rajkumar", "non-dropping-particle" : "", "parse-names" : false, "suffix" : "" }, { "dropping-particle" : "", "family" : "Quan", "given" : "Clifford", "non-dropping-particle" : "", "parse-names" : false, "suffix" : "" }, { "dropping-particle" : "", "family" : "Tom", "given" : "Jeffrey", "non-dropping-particle" : "", "parse-names" : false, "suffix" : "" }, { "dropping-particle" : "", "family" : "Sandoval", "given" : "Wendy", "non-dropping-particle" : "", "parse-names" : false, "suffix" : "" }, { "dropping-particle" : "", "family" : "Lookeren Campagne", "given" : "Menno", "non-dropping-particle" : "Van", "parse-names" : false, "suffix" : "" }, { "dropping-particle" : "", "family" : "Kirchhofer", "given" : "Daniel", "non-dropping-particle" : "", "parse-names" : false, "suffix" : "" } ], "container-title" : "Structure", "id" : "ITEM-1", "issue" : "6", "issued" : { "date-parts" : [ [ "2012" ] ] }, "page" : "1040-1050", "title" : "Structural and functional analysis of HtrA1 and its subdomains", "type" : "article-journal", "volume" : "20" }, "uris" : [ "http://www.mendeley.com/documents/?uuid=3a503cbe-3936-3b57-9e3f-ac3b582d3799" ] } ], "mendeley" : { "formattedCitation" : "&lt;sup&gt;4&lt;/sup&gt;", "plainTextFormattedCitation" : "4", "previouslyFormattedCitation" : "&lt;sup&gt;4&lt;/sup&gt;" }, "properties" : { "noteIndex" : 0 }, "schema" : "https://github.com/citation-style-language/schema/raw/master/csl-citation.json" }</w:instrText>
      </w:r>
      <w:r w:rsidR="00040329">
        <w:rPr>
          <w:rFonts w:ascii="Arial" w:hAnsi="Arial" w:cs="Arial"/>
        </w:rPr>
        <w:fldChar w:fldCharType="separate"/>
      </w:r>
      <w:r w:rsidR="00040329" w:rsidRPr="00040329">
        <w:rPr>
          <w:rFonts w:ascii="Arial" w:hAnsi="Arial" w:cs="Arial"/>
          <w:noProof/>
          <w:vertAlign w:val="superscript"/>
        </w:rPr>
        <w:t>4</w:t>
      </w:r>
      <w:r w:rsidR="00040329">
        <w:rPr>
          <w:rFonts w:ascii="Arial" w:hAnsi="Arial" w:cs="Arial"/>
        </w:rPr>
        <w:fldChar w:fldCharType="end"/>
      </w:r>
      <w:r w:rsidR="0089587E">
        <w:rPr>
          <w:rFonts w:ascii="Arial" w:hAnsi="Arial" w:cs="Arial"/>
        </w:rPr>
        <w:t xml:space="preserve">, thus substrate binding may be described by conformer selection. This </w:t>
      </w:r>
      <w:r w:rsidR="003A008D">
        <w:rPr>
          <w:rFonts w:ascii="Arial" w:hAnsi="Arial" w:cs="Arial"/>
        </w:rPr>
        <w:t>would be</w:t>
      </w:r>
      <w:r w:rsidR="0089587E">
        <w:rPr>
          <w:rFonts w:ascii="Arial" w:hAnsi="Arial" w:cs="Arial"/>
        </w:rPr>
        <w:t xml:space="preserve"> convenient from a computational modeling standpoint, since it is more difficult</w:t>
      </w:r>
      <w:r w:rsidR="00E62E7D">
        <w:rPr>
          <w:rFonts w:ascii="Arial" w:hAnsi="Arial" w:cs="Arial"/>
        </w:rPr>
        <w:t xml:space="preserve">, </w:t>
      </w:r>
      <w:r w:rsidR="0089587E">
        <w:rPr>
          <w:rFonts w:ascii="Arial" w:hAnsi="Arial" w:cs="Arial"/>
        </w:rPr>
        <w:t>though possible</w:t>
      </w:r>
      <w:r w:rsidR="0089587E">
        <w:rPr>
          <w:rFonts w:ascii="Arial" w:hAnsi="Arial" w:cs="Arial"/>
        </w:rPr>
        <w:fldChar w:fldCharType="begin" w:fldLock="1"/>
      </w:r>
      <w:r w:rsidR="003A008D">
        <w:rPr>
          <w:rFonts w:ascii="Arial" w:hAnsi="Arial" w:cs="Arial"/>
        </w:rPr>
        <w:instrText>ADDIN CSL_CITATION { "citationItems" : [ { "id" : "ITEM-1", "itemData" : { "DOI" : "10.1016/j.bpj.2017.11.1919", "ISSN" : "00063495", "author" : [ { "dropping-particle" : "", "family" : "Burman", "given" : "Shourya S Roy", "non-dropping-particle" : "", "parse-names" : false, "suffix" : "" }, { "dropping-particle" : "", "family" : "Marze", "given" : "Nicholas A.", "non-dropping-particle" : "", "parse-names" : false, "suffix" : "" }, { "dropping-particle" : "", "family" : "Sheffler", "given" : "William", "non-dropping-particle" : "", "parse-names" : false, "suffix" : "" }, { "dropping-particle" : "", "family" : "Gray", "given" : "Jeffrey J.", "non-dropping-particle" : "", "parse-names" : false, "suffix" : "" } ], "container-title" : "Biophysical Journal", "id" : "ITEM-1", "issue" : "3", "issued" : { "date-parts" : [ [ "2018", "2", "2" ] ] }, "page" : "344a", "publisher" : "Elsevier", "title" : "Efficient Flexible-Backbone Docking of Challenging Protein Complexes", "type" : "article-journal", "volume" : "114" }, "uris" : [ "http://www.mendeley.com/documents/?uuid=ff6cfaa7-33ba-3eab-aa85-f8fc925f9c7f" ] } ], "mendeley" : { "formattedCitation" : "&lt;sup&gt;12&lt;/sup&gt;", "plainTextFormattedCitation" : "12", "previouslyFormattedCitation" : "&lt;sup&gt;12&lt;/sup&gt;" }, "properties" : { "noteIndex" : 0 }, "schema" : "https://github.com/citation-style-language/schema/raw/master/csl-citation.json" }</w:instrText>
      </w:r>
      <w:r w:rsidR="0089587E">
        <w:rPr>
          <w:rFonts w:ascii="Arial" w:hAnsi="Arial" w:cs="Arial"/>
        </w:rPr>
        <w:fldChar w:fldCharType="separate"/>
      </w:r>
      <w:r w:rsidR="0089587E" w:rsidRPr="0089587E">
        <w:rPr>
          <w:rFonts w:ascii="Arial" w:hAnsi="Arial" w:cs="Arial"/>
          <w:noProof/>
          <w:vertAlign w:val="superscript"/>
        </w:rPr>
        <w:t>12</w:t>
      </w:r>
      <w:r w:rsidR="0089587E">
        <w:rPr>
          <w:rFonts w:ascii="Arial" w:hAnsi="Arial" w:cs="Arial"/>
        </w:rPr>
        <w:fldChar w:fldCharType="end"/>
      </w:r>
      <w:r w:rsidR="00E62E7D">
        <w:rPr>
          <w:rFonts w:ascii="Arial" w:hAnsi="Arial" w:cs="Arial"/>
        </w:rPr>
        <w:t>,</w:t>
      </w:r>
      <w:r w:rsidR="0089587E">
        <w:rPr>
          <w:rFonts w:ascii="Arial" w:hAnsi="Arial" w:cs="Arial"/>
        </w:rPr>
        <w:t xml:space="preserve"> to sample sufficient degrees of freedom to adequately represent fit induction.</w:t>
      </w:r>
      <w:r w:rsidR="003A008D">
        <w:rPr>
          <w:rFonts w:ascii="Arial" w:hAnsi="Arial" w:cs="Arial"/>
        </w:rPr>
        <w:t xml:space="preserve"> However, it was also demonstrated that Htra1, both with and without the PDZ, had increased activity on synthetic peptide substrates in the presence of tau</w:t>
      </w:r>
      <w:r w:rsidR="003A008D">
        <w:rPr>
          <w:rFonts w:ascii="Arial" w:hAnsi="Arial" w:cs="Arial"/>
        </w:rPr>
        <w:fldChar w:fldCharType="begin" w:fldLock="1"/>
      </w:r>
      <w:r w:rsidR="002E7D98">
        <w:rPr>
          <w:rFonts w:ascii="Arial" w:hAnsi="Arial" w:cs="Arial"/>
        </w:rPr>
        <w:instrText>ADDIN CSL_CITATION { "citationItems" : [ { "id" : "ITEM-1", "itemData" : { "DOI" : "10.1074/jbc.M111.316232", "ISBN" : "2093120941", "ISSN" : "00219258", "PMID" : "22535953", "abstract" : "Protective proteases are key elements of protein quality control pathways that are up-regulated, for example, under various protein folding stresses. These proteases are employed to prevent the accumulation and aggregation of misfolded proteins that can impose severe damage to cells. The high temperature requirement A (HtrA) family of serine proteases has evolved to perform important aspects of ATP-independent protein quality control. So far, however, no HtrA protease is known that degrades protein aggregates. We show here that human HTRA1 degrades aggregated and fibrillar tau, a protein that is critically involved in various neurological disorders. Neuronal cells and patient brains accumulate less tau, neurofibrillary tangles, and neuritic plaques, respectively, when HTRA1 is expressed at elevated levels. Furthermore, HTRA1 mRNA and HTRA1 activity are up-regulated in response to elevated tau concentrations. These data suggest that HTRA1 is performing regulated proteolysis during protein quality control, the implications of which are discussed.", "author" : [ { "dropping-particle" : "", "family" : "Tennstaedt", "given" : "Annette", "non-dropping-particle" : "", "parse-names" : false, "suffix" : "" }, { "dropping-particle" : "", "family" : "Popsel", "given" : "Simon", "non-dropping-particle" : "", "parse-names" : false, "suffix" : "" }, { "dropping-particle" : "", "family" : "Truebestein", "given" : "Linda", "non-dropping-particle" : "", "parse-names" : false, "suffix" : "" }, { "dropping-particle" : "", "family" : "Hauske", "given" : "Patrick", "non-dropping-particle" : "", "parse-names" : false, "suffix" : "" }, { "dropping-particle" : "", "family" : "Brockmann", "given" : "Anke", "non-dropping-particle" : "", "parse-names" : false, "suffix" : "" }, { "dropping-particle" : "", "family" : "Schmidt", "given" : "Nina", "non-dropping-particle" : "", "parse-names" : false, "suffix" : "" }, { "dropping-particle" : "", "family" : "Irle", "given" : "Inga", "non-dropping-particle" : "", "parse-names" : false, "suffix" : "" }, { "dropping-particle" : "", "family" : "Sacca", "given" : "Barbara", "non-dropping-particle" : "", "parse-names" : false, "suffix" : "" }, { "dropping-particle" : "", "family" : "Niemeyer", "given" : "Christof M", "non-dropping-particle" : "", "parse-names" : false, "suffix" : "" }, { "dropping-particle" : "", "family" : "Brandt", "given" : "Roland", "non-dropping-particle" : "", "parse-names" : false, "suffix" : "" }, { "dropping-particle" : "", "family" : "Ksiezak-Reding", "given" : "Hanna", "non-dropping-particle" : "", "parse-names" : false, "suffix" : "" }, { "dropping-particle" : "", "family" : "Tirniceriu", "given" : "Anca Laura", "non-dropping-particle" : "", "parse-names" : false, "suffix" : "" }, { "dropping-particle" : "", "family" : "Egensperger", "given" : "Rupert", "non-dropping-particle" : "", "parse-names" : false, "suffix" : "" }, { "dropping-particle" : "", "family" : "Baldi", "given" : "Alfonso", "non-dropping-particle" : "", "parse-names" : false, "suffix" : "" }, { "dropping-particle" : "", "family" : "Dehmelt", "given" : "Leif", "non-dropping-particle" : "", "parse-names" : false, "suffix" : "" }, { "dropping-particle" : "", "family" : "Kaiser", "given" : "Markus", "non-dropping-particle" : "", "parse-names" : false, "suffix" : "" }, { "dropping-particle" : "", "family" : "Huber", "given" : "Robert", "non-dropping-particle" : "", "parse-names" : false, "suffix" : "" }, { "dropping-particle" : "", "family" : "Clausen", "given" : "Tim", "non-dropping-particle" : "", "parse-names" : false, "suffix" : "" }, { "dropping-particle" : "", "family" : "Ehrmanna", "given" : "Michael", "non-dropping-particle" : "", "parse-names" : false, "suffix" : "" } ], "container-title" : "Journal of Biological Chemistry", "id" : "ITEM-1", "issue" : "25", "issued" : { "date-parts" : [ [ "2012", "6", "15" ] ] }, "page" : "20931-20941", "publisher" : "American Society for Biochemistry and Molecular Biology", "title" : "Human high temperature requirement serine protease A1 (HTRA1) degrades tau protein aggregates", "type" : "article-journal", "volume" : "287" }, "uris" : [ "http://www.mendeley.com/documents/?uuid=142ccbd2-9283-338e-8532-71c7847d97da" ] } ], "mendeley" : { "formattedCitation" : "&lt;sup&gt;3&lt;/sup&gt;", "plainTextFormattedCitation" : "3", "previouslyFormattedCitation" : "&lt;sup&gt;3&lt;/sup&gt;" }, "properties" : { "noteIndex" : 0 }, "schema" : "https://github.com/citation-style-language/schema/raw/master/csl-citation.json" }</w:instrText>
      </w:r>
      <w:r w:rsidR="003A008D">
        <w:rPr>
          <w:rFonts w:ascii="Arial" w:hAnsi="Arial" w:cs="Arial"/>
        </w:rPr>
        <w:fldChar w:fldCharType="separate"/>
      </w:r>
      <w:r w:rsidR="003A008D" w:rsidRPr="003A008D">
        <w:rPr>
          <w:rFonts w:ascii="Arial" w:hAnsi="Arial" w:cs="Arial"/>
          <w:noProof/>
          <w:vertAlign w:val="superscript"/>
        </w:rPr>
        <w:t>3</w:t>
      </w:r>
      <w:r w:rsidR="003A008D">
        <w:rPr>
          <w:rFonts w:ascii="Arial" w:hAnsi="Arial" w:cs="Arial"/>
        </w:rPr>
        <w:fldChar w:fldCharType="end"/>
      </w:r>
      <w:r w:rsidR="002E7D98">
        <w:rPr>
          <w:rFonts w:ascii="Arial" w:hAnsi="Arial" w:cs="Arial"/>
        </w:rPr>
        <w:t>, though the specific molecular interaction promoting 4- to over 20-fold increases in activity was not identified.</w:t>
      </w:r>
      <w:r w:rsidR="009F4387">
        <w:rPr>
          <w:rFonts w:ascii="Arial" w:hAnsi="Arial" w:cs="Arial"/>
        </w:rPr>
        <w:t xml:space="preserve"> Further complicating the elucidation of this mechanism was the</w:t>
      </w:r>
      <w:r w:rsidR="006F1CE8">
        <w:rPr>
          <w:rFonts w:ascii="Arial" w:hAnsi="Arial" w:cs="Arial"/>
        </w:rPr>
        <w:t xml:space="preserve"> PDZ-independent</w:t>
      </w:r>
      <w:r w:rsidR="009F4387">
        <w:rPr>
          <w:rFonts w:ascii="Arial" w:hAnsi="Arial" w:cs="Arial"/>
        </w:rPr>
        <w:t xml:space="preserve"> formation of </w:t>
      </w:r>
      <w:r w:rsidR="005E7503">
        <w:rPr>
          <w:rFonts w:ascii="Arial" w:hAnsi="Arial" w:cs="Arial"/>
        </w:rPr>
        <w:t>larger</w:t>
      </w:r>
      <w:r w:rsidR="009F4387">
        <w:rPr>
          <w:rFonts w:ascii="Arial" w:hAnsi="Arial" w:cs="Arial"/>
        </w:rPr>
        <w:t xml:space="preserve"> </w:t>
      </w:r>
      <w:proofErr w:type="spellStart"/>
      <w:r w:rsidR="009F4387">
        <w:rPr>
          <w:rFonts w:ascii="Arial" w:hAnsi="Arial" w:cs="Arial"/>
        </w:rPr>
        <w:t>multimers</w:t>
      </w:r>
      <w:proofErr w:type="spellEnd"/>
      <w:r w:rsidR="009F4387">
        <w:rPr>
          <w:rFonts w:ascii="Arial" w:hAnsi="Arial" w:cs="Arial"/>
        </w:rPr>
        <w:t xml:space="preserve"> associated with the activity increase</w:t>
      </w:r>
      <w:r w:rsidR="005E7503">
        <w:rPr>
          <w:rFonts w:ascii="Arial" w:hAnsi="Arial" w:cs="Arial"/>
        </w:rPr>
        <w:fldChar w:fldCharType="begin" w:fldLock="1"/>
      </w:r>
      <w:r w:rsidR="006F1CE8">
        <w:rPr>
          <w:rFonts w:ascii="Arial" w:hAnsi="Arial" w:cs="Arial"/>
        </w:rPr>
        <w:instrText>ADDIN CSL_CITATION { "citationItems" : [ { "id" : "ITEM-1", "itemData" : { "DOI" : "10.1371/journal.pone.0115362", "ISSN" : "1932-6203", "abstract" : "High temperature requirement protein A1 (HtrA1), a secreted serine protease of the HtrA family, is associated with a multitude of human diseases. However, the exact functions of HtrA1 in these diseases remain poorly understood. We seek to unravel the mechanisms of HtrA1 by elucidating its interactions with chemical or biological modulators. To this end, we screened a small molecule library of 500 bioactive compounds to identify those that alter the formation of extracellular HtrA1 complexes in the cell culture medium. An initial characterization of two novel hits from this screen showed that protoporphyrin IX (PPP-IX), a precursor in the heme biosynthetic pathway, and its metalloporphyrin (MPP) derivatives fostered the oligomerization of HtrA1 by binding to the protease domain. As a result of the interaction with MPPs, the proteolytic activity of HtrA1 against Fibulin-5, a specific HtrA1 substrate in age-related macular degeneration (AMD), was increased. This physical interaction could be abolished by the missense mutations of HtrA1 found in patients with cerebral autosomal recessive arteriopathy with subcortical infarcts and leukoencephalopathy (CARASIL). Furthermore, knockdown of HtrA1 attenuated apoptosis induced by PPP-IX. These results suggest that PPP-IX, or its derivatives, and HtrA1 may function as co-factors whereby porphyrins enhance oligomerization and the protease activity of HtrA1, while active HtrA1 elevates the pro-apoptotic actions of porphyrin derivatives. Further analysis of this interplay may shed insights into the pathogenesis of diseases such as AMD, CARASIL and protoporphyria, as well as effective therapeutic development.", "author" : [ { "dropping-particle" : "", "family" : "Jo", "given" : "Hakryul", "non-dropping-particle" : "", "parse-names" : false, "suffix" : "" }, { "dropping-particle" : "", "family" : "Patterson", "given" : "Victoria", "non-dropping-particle" : "", "parse-names" : false, "suffix" : "" }, { "dropping-particle" : "", "family" : "Stoessel", "given" : "Sean", "non-dropping-particle" : "", "parse-names" : false, "suffix" : "" }, { "dropping-particle" : "", "family" : "Kuan", "given" : "Chia-Yi", "non-dropping-particle" : "", "parse-names" : false, "suffix" : "" }, { "dropping-particle" : "", "family" : "Hoh", "given" : "Josephine", "non-dropping-particle" : "", "parse-names" : false, "suffix" : "" } ], "container-title" : "PLoS ONE", "editor" : [ { "dropping-particle" : "", "family" : "Mori", "given" : "Keisuke", "non-dropping-particle" : "", "parse-names" : false, "suffix" : "" } ], "id" : "ITEM-1", "issue" : "12", "issued" : { "date-parts" : [ [ "2014", "12", "15" ] ] }, "page" : "e115362", "publisher" : "Public Library of Science", "title" : "Protoporphyrins Enhance Oligomerization and Enzymatic Activity of HtrA1 Serine Protease", "type" : "article-journal", "volume" : "9" }, "uris" : [ "http://www.mendeley.com/documents/?uuid=288ae08c-7db8-3549-854b-33a192b9720a" ] }, { "id" : "ITEM-2", "itemData" : { "DOI" : "10.1038/nsmb.2013", "ISBN" : "1545-9985 (Electronic)\\n1545-9985 (Linking)", "ISSN" : "15459993", "PMID" : "21297635", "abstract" : "Crystal structures of active and inactive conformations of the human serine protease HTRA1 reveal that substrate binding to the active site is sufficient to stimulate proteolytic activity. HTRA1 attaches to liposomes, digests misfolded proteins into defined fragments and undergoes substrate-mediated oligomer conversion. In contrast to those of other serine proteases, the PDZ domain of HTRA1 is dispensable for activation or lipid attachment, indicative of different underlying mechanistic features.", "author" : [ { "dropping-particle" : "", "family" : "Truebestein", "given" : "Linda", "non-dropping-particle" : "", "parse-names" : false, "suffix" : "" }, { "dropping-particle" : "", "family" : "Tennstaedt", "given" : "Annette", "non-dropping-particle" : "", "parse-names" : false, "suffix" : "" }, { "dropping-particle" : "", "family" : "M\u00f6nig", "given" : "Timon", "non-dropping-particle" : "", "parse-names" : false, "suffix" : "" }, { "dropping-particle" : "", "family" : "Krojer", "given" : "Tobias", "non-dropping-particle" : "", "parse-names" : false, "suffix" : "" }, { "dropping-particle" : "", "family" : "Canellas", "given" : "Flavia", "non-dropping-particle" : "", "parse-names" : false, "suffix" : "" }, { "dropping-particle" : "", "family" : "Kaiser", "given" : "Markus", "non-dropping-particle" : "", "parse-names" : false, "suffix" : "" }, { "dropping-particle" : "", "family" : "Clausen", "given" : "Tim", "non-dropping-particle" : "", "parse-names" : false, "suffix" : "" }, { "dropping-particle" : "", "family" : "Ehrmann", "given" : "Michael", "non-dropping-particle" : "", "parse-names" : false, "suffix" : "" } ], "container-title" : "Nature Structural and Molecular Biology", "id" : "ITEM-2", "issue" : "3", "issued" : { "date-parts" : [ [ "2011", "3", "6" ] ] }, "page" : "386-388", "publisher" : "Nature Publishing Group", "title" : "Substrate-induced remodeling of the active site regulates human HTRA1 activity", "type" : "article-journal", "volume" : "18" }, "uris" : [ "http://www.mendeley.com/documents/?uuid=a71045b3-e965-30a6-8544-f7c1704642c3" ] } ], "mendeley" : { "formattedCitation" : "&lt;sup&gt;7,13&lt;/sup&gt;", "plainTextFormattedCitation" : "7,13", "previouslyFormattedCitation" : "&lt;sup&gt;13&lt;/sup&gt;" }, "properties" : { "noteIndex" : 0 }, "schema" : "https://github.com/citation-style-language/schema/raw/master/csl-citation.json" }</w:instrText>
      </w:r>
      <w:r w:rsidR="005E7503">
        <w:rPr>
          <w:rFonts w:ascii="Arial" w:hAnsi="Arial" w:cs="Arial"/>
        </w:rPr>
        <w:fldChar w:fldCharType="separate"/>
      </w:r>
      <w:r w:rsidR="006F1CE8" w:rsidRPr="006F1CE8">
        <w:rPr>
          <w:rFonts w:ascii="Arial" w:hAnsi="Arial" w:cs="Arial"/>
          <w:noProof/>
          <w:vertAlign w:val="superscript"/>
        </w:rPr>
        <w:t>7,13</w:t>
      </w:r>
      <w:r w:rsidR="005E7503">
        <w:rPr>
          <w:rFonts w:ascii="Arial" w:hAnsi="Arial" w:cs="Arial"/>
        </w:rPr>
        <w:fldChar w:fldCharType="end"/>
      </w:r>
      <w:r w:rsidR="009F4387">
        <w:rPr>
          <w:rFonts w:ascii="Arial" w:hAnsi="Arial" w:cs="Arial"/>
        </w:rPr>
        <w:t>; whether such large assemblies are able to interact with tau fibrils, or whether Htra1’s interaction with tau takes place in trimeric or monomeric form, is unknown.</w:t>
      </w:r>
      <w:r w:rsidR="005A677C">
        <w:rPr>
          <w:rFonts w:ascii="Arial" w:hAnsi="Arial" w:cs="Arial"/>
        </w:rPr>
        <w:t xml:space="preserve"> </w:t>
      </w:r>
      <w:r w:rsidR="006F1CE8">
        <w:rPr>
          <w:rFonts w:ascii="Arial" w:hAnsi="Arial" w:cs="Arial"/>
        </w:rPr>
        <w:t>Observation of the proximity</w:t>
      </w:r>
      <w:r w:rsidR="005A677C">
        <w:rPr>
          <w:rFonts w:ascii="Arial" w:hAnsi="Arial" w:cs="Arial"/>
        </w:rPr>
        <w:t xml:space="preserve"> between</w:t>
      </w:r>
      <w:r w:rsidR="006F1CE8">
        <w:rPr>
          <w:rFonts w:ascii="Arial" w:hAnsi="Arial" w:cs="Arial"/>
        </w:rPr>
        <w:t xml:space="preserve"> loops</w:t>
      </w:r>
      <w:r w:rsidR="005A677C">
        <w:rPr>
          <w:rFonts w:ascii="Arial" w:hAnsi="Arial" w:cs="Arial"/>
        </w:rPr>
        <w:t xml:space="preserve"> L3 and LD* of neighboring protease domains</w:t>
      </w:r>
      <w:r w:rsidR="006F1CE8">
        <w:rPr>
          <w:rFonts w:ascii="Arial" w:hAnsi="Arial" w:cs="Arial"/>
        </w:rPr>
        <w:t xml:space="preserve"> in the crystal structure suggest that their conformational changes may be of significant influence</w:t>
      </w:r>
      <w:r w:rsidR="006F1CE8">
        <w:rPr>
          <w:rFonts w:ascii="Arial" w:hAnsi="Arial" w:cs="Arial"/>
        </w:rPr>
        <w:fldChar w:fldCharType="begin" w:fldLock="1"/>
      </w:r>
      <w:r w:rsidR="006F1CE8">
        <w:rPr>
          <w:rFonts w:ascii="Arial" w:hAnsi="Arial" w:cs="Arial"/>
        </w:rPr>
        <w:instrText>ADDIN CSL_CITATION { "citationItems" : [ { "id" : "ITEM-1", "itemData" : { "DOI" : "10.1016/j.abb.2017.04.004", "ISSN" : "10960384", "abstract" : "Human HtrA1-4 proteins belong to the HtrA family of evolutionarily conserved serine proteases and function as important modulators of many physiological processes, including maintenance of mitochondrial homeostasis, cell signaling and apoptosis. Disturbances in their action are linked to severe diseases, including oncogenesis and neurodegeneration. The HtrA1-4 proteins share structural and functional features of other members of the HtrA protein family, however there are several significant differences in structural architecture and mechanisms of action which makes each of them unique. Our goal is to present recent studies regarding human HtrAs. We focus on their physiological functions, structure and regulation, and describe current models of activation mechanisms. Knowledge of molecular basis of the human HtrAs' action is a subject of great interest; it is crucial for understanding their relevance in cellular physiology and pathogenesis as well as for using them as targets in future therapies of diseases such as neurodegenerative disorders and cancer.", "author" : [ { "dropping-particle" : "", "family" : "Zurawa-Janicka", "given" : "Dorota", "non-dropping-particle" : "", "parse-names" : false, "suffix" : "" }, { "dropping-particle" : "", "family" : "Wenta", "given" : "Tomasz", "non-dropping-particle" : "", "parse-names" : false, "suffix" : "" }, { "dropping-particle" : "", "family" : "Jarzab", "given" : "Miroslaw", "non-dropping-particle" : "", "parse-names" : false, "suffix" : "" }, { "dropping-particle" : "", "family" : "Skorko-Glonek", "given" : "Joanna", "non-dropping-particle" : "", "parse-names" : false, "suffix" : "" }, { "dropping-particle" : "", "family" : "Glaza", "given" : "Przemyslaw", "non-dropping-particle" : "", "parse-names" : false, "suffix" : "" }, { "dropping-particle" : "", "family" : "Gieldon", "given" : "Artur", "non-dropping-particle" : "", "parse-names" : false, "suffix" : "" }, { "dropping-particle" : "", "family" : "Ciarkowski", "given" : "Jerzy", "non-dropping-particle" : "", "parse-names" : false, "suffix" : "" }, { "dropping-particle" : "", "family" : "Lipinska", "given" : "Barbara", "non-dropping-particle" : "", "parse-names" : false, "suffix" : "" } ], "container-title" : "Archives of Biochemistry and Biophysics", "id" : "ITEM-1", "issued" : { "date-parts" : [ [ "2017", "5", "1" ] ] }, "page" : "6-23", "publisher" : "Academic Press", "title" : "Structural insights into the activation mechanisms of human HtrA serine proteases", "type" : "article-journal", "volume" : "621" }, "uris" : [ "http://www.mendeley.com/documents/?uuid=db19e3ba-eaf7-3931-b0ac-ecb70357a04a" ] } ], "mendeley" : { "formattedCitation" : "&lt;sup&gt;6&lt;/sup&gt;", "plainTextFormattedCitation" : "6", "previouslyFormattedCitation" : "&lt;sup&gt;6&lt;/sup&gt;" }, "properties" : { "noteIndex" : 0 }, "schema" : "https://github.com/citation-style-language/schema/raw/master/csl-citation.json" }</w:instrText>
      </w:r>
      <w:r w:rsidR="006F1CE8">
        <w:rPr>
          <w:rFonts w:ascii="Arial" w:hAnsi="Arial" w:cs="Arial"/>
        </w:rPr>
        <w:fldChar w:fldCharType="separate"/>
      </w:r>
      <w:r w:rsidR="006F1CE8" w:rsidRPr="006F1CE8">
        <w:rPr>
          <w:rFonts w:ascii="Arial" w:hAnsi="Arial" w:cs="Arial"/>
          <w:noProof/>
          <w:vertAlign w:val="superscript"/>
        </w:rPr>
        <w:t>6</w:t>
      </w:r>
      <w:r w:rsidR="006F1CE8">
        <w:rPr>
          <w:rFonts w:ascii="Arial" w:hAnsi="Arial" w:cs="Arial"/>
        </w:rPr>
        <w:fldChar w:fldCharType="end"/>
      </w:r>
      <w:r w:rsidR="006F1CE8">
        <w:rPr>
          <w:rFonts w:ascii="Arial" w:hAnsi="Arial" w:cs="Arial"/>
        </w:rPr>
        <w:t>.</w:t>
      </w:r>
    </w:p>
    <w:p w:rsidR="00040329" w:rsidRPr="00E36B3A" w:rsidRDefault="007553C3" w:rsidP="00040329">
      <w:pPr>
        <w:ind w:firstLine="720"/>
        <w:jc w:val="both"/>
        <w:rPr>
          <w:rFonts w:ascii="Arial" w:hAnsi="Arial" w:cs="Arial"/>
        </w:rPr>
      </w:pPr>
      <w:r>
        <w:rPr>
          <w:rFonts w:ascii="Arial" w:hAnsi="Arial" w:cs="Arial"/>
        </w:rPr>
        <w:t xml:space="preserve">Htra1’s interaction with tau fibrils is complex indeed, as it combines disintegration of the fibril with hydrolytic degradation. The complex behavior is not </w:t>
      </w:r>
      <w:r w:rsidR="001D1DBA">
        <w:rPr>
          <w:rFonts w:ascii="Arial" w:hAnsi="Arial" w:cs="Arial"/>
        </w:rPr>
        <w:t>isolated</w:t>
      </w:r>
      <w:r>
        <w:rPr>
          <w:rFonts w:ascii="Arial" w:hAnsi="Arial" w:cs="Arial"/>
        </w:rPr>
        <w:t xml:space="preserve"> to the termini of the fibril, nor does hydrolysis only happen in terminal sections of individual tau proteins</w:t>
      </w:r>
      <w:r w:rsidR="001D1DBA">
        <w:rPr>
          <w:rFonts w:ascii="Arial" w:hAnsi="Arial" w:cs="Arial"/>
        </w:rPr>
        <w:t>, but rather was distributed across the entire fibril</w:t>
      </w:r>
      <w:r w:rsidR="00506A50">
        <w:rPr>
          <w:rFonts w:ascii="Arial" w:hAnsi="Arial" w:cs="Arial"/>
        </w:rPr>
        <w:t>,</w:t>
      </w:r>
      <w:r w:rsidR="001D1DBA">
        <w:rPr>
          <w:rFonts w:ascii="Arial" w:hAnsi="Arial" w:cs="Arial"/>
        </w:rPr>
        <w:t xml:space="preserve"> </w:t>
      </w:r>
      <w:r w:rsidR="00E62E7D">
        <w:rPr>
          <w:rFonts w:ascii="Arial" w:hAnsi="Arial" w:cs="Arial"/>
        </w:rPr>
        <w:t xml:space="preserve">and </w:t>
      </w:r>
      <w:r w:rsidR="001D1DBA">
        <w:rPr>
          <w:rFonts w:ascii="Arial" w:hAnsi="Arial" w:cs="Arial"/>
        </w:rPr>
        <w:t>with cleavages in multiple locations in the tau sequence</w:t>
      </w:r>
      <w:r>
        <w:rPr>
          <w:rFonts w:ascii="Arial" w:hAnsi="Arial" w:cs="Arial"/>
        </w:rPr>
        <w:fldChar w:fldCharType="begin" w:fldLock="1"/>
      </w:r>
      <w:r w:rsidR="005E7503">
        <w:rPr>
          <w:rFonts w:ascii="Arial" w:hAnsi="Arial" w:cs="Arial"/>
        </w:rPr>
        <w:instrText>ADDIN CSL_CITATION { "citationItems" : [ { "id" : "ITEM-1", "itemData" : { "DOI" : "10.1038/nchembio.1931", "ISSN" : "15524469", "PMID" : "26436840", "abstract" : "Excessive aggregation of proteins has a major impact on cell fate and is a hallmark of amyloid diseases in humans. To resolve insoluble deposits and to maintain protein homeostasis, all cells use dedicated protein disaggregation, protein folding and protein degradation factors. Despite intense recent research, the underlying mechanisms controlling this key metabolic event are not well understood. Here, we analyzed how a single factor, the highly conserved serine protease HTRA1, degrades amyloid fibrils in an ATP-independent manner. This PDZ protease solubilizes protein fibrils and disintegrates the fibrillar core structure, allowing productive interaction of aggregated polypeptides with the active site for rapid degradation. The aggregate burden in a cellular model of cytoplasmic tau aggregation is thus reduced. Mechanistic aspects of ATP-independent proteolysis and its implications in amyloid diseases are discussed.", "author" : [ { "dropping-particle" : "", "family" : "Poepsel", "given" : "Simon", "non-dropping-particle" : "", "parse-names" : false, "suffix" : "" }, { "dropping-particle" : "", "family" : "Sprengel", "given" : "Andreas", "non-dropping-particle" : "", "parse-names" : false, "suffix" : "" }, { "dropping-particle" : "", "family" : "Sacca", "given" : "Barbara", "non-dropping-particle" : "", "parse-names" : false, "suffix" : "" }, { "dropping-particle" : "", "family" : "Kaschani", "given" : "Farnusch", "non-dropping-particle" : "", "parse-names" : false, "suffix" : "" }, { "dropping-particle" : "", "family" : "Kaiser", "given" : "Markus", "non-dropping-particle" : "", "parse-names" : false, "suffix" : "" }, { "dropping-particle" : "", "family" : "Gatsogiannis", "given" : "Christos", "non-dropping-particle" : "", "parse-names" : false, "suffix" : "" }, { "dropping-particle" : "", "family" : "Raunser", "given" : "Stefan", "non-dropping-particle" : "", "parse-names" : false, "suffix" : "" }, { "dropping-particle" : "", "family" : "Clausen", "given" : "Tim", "non-dropping-particle" : "", "parse-names" : false, "suffix" : "" }, { "dropping-particle" : "", "family" : "Ehrmann", "given" : "Michael", "non-dropping-particle" : "", "parse-names" : false, "suffix" : "" } ], "container-title" : "Nature Chemical Biology", "id" : "ITEM-1", "issue" : "11", "issued" : { "date-parts" : [ [ "2015" ] ] }, "page" : "862-869", "title" : "Determinants of amyloid fibril degradation by the PDZ protease HTRA1", "type" : "article-journal", "volume" : "11" }, "uris" : [ "http://www.mendeley.com/documents/?uuid=9feed631-7876-38de-9ef5-284a6bfa0f30" ] } ], "mendeley" : { "formattedCitation" : "&lt;sup&gt;8&lt;/sup&gt;", "plainTextFormattedCitation" : "8", "previouslyFormattedCitation" : "&lt;sup&gt;8&lt;/sup&gt;" }, "properties" : { "noteIndex" : 0 }, "schema" : "https://github.com/citation-style-language/schema/raw/master/csl-citation.json" }</w:instrText>
      </w:r>
      <w:r>
        <w:rPr>
          <w:rFonts w:ascii="Arial" w:hAnsi="Arial" w:cs="Arial"/>
        </w:rPr>
        <w:fldChar w:fldCharType="separate"/>
      </w:r>
      <w:r w:rsidRPr="007553C3">
        <w:rPr>
          <w:rFonts w:ascii="Arial" w:hAnsi="Arial" w:cs="Arial"/>
          <w:noProof/>
          <w:vertAlign w:val="superscript"/>
        </w:rPr>
        <w:t>8</w:t>
      </w:r>
      <w:r>
        <w:rPr>
          <w:rFonts w:ascii="Arial" w:hAnsi="Arial" w:cs="Arial"/>
        </w:rPr>
        <w:fldChar w:fldCharType="end"/>
      </w:r>
      <w:r>
        <w:rPr>
          <w:rFonts w:ascii="Arial" w:hAnsi="Arial" w:cs="Arial"/>
        </w:rPr>
        <w:t>.</w:t>
      </w:r>
      <w:r w:rsidR="00D87B69">
        <w:rPr>
          <w:rFonts w:ascii="Arial" w:hAnsi="Arial" w:cs="Arial"/>
        </w:rPr>
        <w:t xml:space="preserve"> Catalytically inactivated Htra1 degraded tau fibrils, while isolated PDZ did not, indicating that </w:t>
      </w:r>
      <w:r w:rsidR="00E7549C">
        <w:rPr>
          <w:rFonts w:ascii="Arial" w:hAnsi="Arial" w:cs="Arial"/>
        </w:rPr>
        <w:t xml:space="preserve">the proteolytic domain’s interaction with tau </w:t>
      </w:r>
      <w:r w:rsidR="00506A50">
        <w:rPr>
          <w:rFonts w:ascii="Arial" w:hAnsi="Arial" w:cs="Arial"/>
        </w:rPr>
        <w:t>plays a wider role</w:t>
      </w:r>
      <w:r w:rsidR="00E7549C">
        <w:rPr>
          <w:rFonts w:ascii="Arial" w:hAnsi="Arial" w:cs="Arial"/>
        </w:rPr>
        <w:t xml:space="preserve"> than hydrolysis</w:t>
      </w:r>
      <w:r w:rsidR="00506A50">
        <w:rPr>
          <w:rFonts w:ascii="Arial" w:hAnsi="Arial" w:cs="Arial"/>
        </w:rPr>
        <w:t xml:space="preserve"> alone</w:t>
      </w:r>
      <w:r w:rsidR="00E7549C">
        <w:rPr>
          <w:rFonts w:ascii="Arial" w:hAnsi="Arial" w:cs="Arial"/>
        </w:rPr>
        <w:t>. Inactive Htra1 was, however, less effective at fibril degradation when the PDZ was deleted,</w:t>
      </w:r>
      <w:r w:rsidR="00F64175">
        <w:rPr>
          <w:rFonts w:ascii="Arial" w:hAnsi="Arial" w:cs="Arial"/>
        </w:rPr>
        <w:t xml:space="preserve"> and unable to solubilize tau fibrils.</w:t>
      </w:r>
      <w:r w:rsidR="00E7549C">
        <w:rPr>
          <w:rFonts w:ascii="Arial" w:hAnsi="Arial" w:cs="Arial"/>
        </w:rPr>
        <w:t xml:space="preserve"> </w:t>
      </w:r>
      <w:r w:rsidR="00F64175">
        <w:rPr>
          <w:rFonts w:ascii="Arial" w:hAnsi="Arial" w:cs="Arial"/>
        </w:rPr>
        <w:t>This d</w:t>
      </w:r>
      <w:r w:rsidR="00E7549C">
        <w:rPr>
          <w:rFonts w:ascii="Arial" w:hAnsi="Arial" w:cs="Arial"/>
        </w:rPr>
        <w:t>emonstrat</w:t>
      </w:r>
      <w:r w:rsidR="00F64175">
        <w:rPr>
          <w:rFonts w:ascii="Arial" w:hAnsi="Arial" w:cs="Arial"/>
        </w:rPr>
        <w:t>es</w:t>
      </w:r>
      <w:r w:rsidR="00E7549C">
        <w:rPr>
          <w:rFonts w:ascii="Arial" w:hAnsi="Arial" w:cs="Arial"/>
        </w:rPr>
        <w:t xml:space="preserve"> the cooperativity between the domains in disintegrating tau fibrils; the nature of this cooperativity has yet to be determined.</w:t>
      </w:r>
      <w:r w:rsidR="003B1EE9">
        <w:rPr>
          <w:rFonts w:ascii="Arial" w:hAnsi="Arial" w:cs="Arial"/>
        </w:rPr>
        <w:t xml:space="preserve"> Disintegration improved proteolysis</w:t>
      </w:r>
      <w:r w:rsidR="00506A50">
        <w:rPr>
          <w:rFonts w:ascii="Arial" w:hAnsi="Arial" w:cs="Arial"/>
        </w:rPr>
        <w:t>;</w:t>
      </w:r>
      <w:r w:rsidR="003B1EE9">
        <w:rPr>
          <w:rFonts w:ascii="Arial" w:hAnsi="Arial" w:cs="Arial"/>
        </w:rPr>
        <w:t xml:space="preserve"> when tau fibrils were pre-treated with catalytically inactive Htra1 prior to mixture with active enzyme; more cuts were made, particularly within the regions of tau that form the fibril</w:t>
      </w:r>
      <w:r w:rsidR="00506A50">
        <w:rPr>
          <w:rFonts w:ascii="Arial" w:hAnsi="Arial" w:cs="Arial"/>
        </w:rPr>
        <w:t xml:space="preserve"> core</w:t>
      </w:r>
      <w:r w:rsidR="003B1EE9">
        <w:rPr>
          <w:rFonts w:ascii="Arial" w:hAnsi="Arial" w:cs="Arial"/>
        </w:rPr>
        <w:t>.</w:t>
      </w:r>
      <w:r w:rsidR="00E44206">
        <w:rPr>
          <w:rFonts w:ascii="Arial" w:hAnsi="Arial" w:cs="Arial"/>
        </w:rPr>
        <w:t xml:space="preserve"> </w:t>
      </w:r>
      <w:r w:rsidR="004F7CB8">
        <w:rPr>
          <w:rFonts w:ascii="Arial" w:hAnsi="Arial" w:cs="Arial"/>
        </w:rPr>
        <w:t xml:space="preserve"> A representative peptide of tau bound Htra1 and the isolated PDZ with similar affinity.</w:t>
      </w:r>
    </w:p>
    <w:p w:rsidR="00533095" w:rsidRDefault="00533095">
      <w:pPr>
        <w:rPr>
          <w:rFonts w:ascii="Arial" w:hAnsi="Arial" w:cs="Arial"/>
        </w:rPr>
      </w:pPr>
      <w:r>
        <w:rPr>
          <w:rFonts w:ascii="Arial" w:hAnsi="Arial" w:cs="Arial"/>
        </w:rPr>
        <w:br w:type="page"/>
      </w:r>
    </w:p>
    <w:p w:rsidR="006F1CE8" w:rsidRPr="006F1CE8" w:rsidRDefault="00533095" w:rsidP="006F1CE8">
      <w:pPr>
        <w:widowControl w:val="0"/>
        <w:autoSpaceDE w:val="0"/>
        <w:autoSpaceDN w:val="0"/>
        <w:adjustRightInd w:val="0"/>
        <w:spacing w:line="240" w:lineRule="auto"/>
        <w:ind w:left="640" w:hanging="640"/>
        <w:rPr>
          <w:rFonts w:ascii="Arial" w:hAnsi="Arial" w:cs="Arial"/>
          <w:noProof/>
          <w:szCs w:val="24"/>
        </w:rPr>
      </w:pPr>
      <w:r>
        <w:rPr>
          <w:rFonts w:ascii="Arial" w:hAnsi="Arial" w:cs="Arial"/>
        </w:rPr>
        <w:lastRenderedPageBreak/>
        <w:fldChar w:fldCharType="begin" w:fldLock="1"/>
      </w:r>
      <w:r>
        <w:rPr>
          <w:rFonts w:ascii="Arial" w:hAnsi="Arial" w:cs="Arial"/>
        </w:rPr>
        <w:instrText xml:space="preserve">ADDIN Mendeley Bibliography CSL_BIBLIOGRAPHY </w:instrText>
      </w:r>
      <w:r>
        <w:rPr>
          <w:rFonts w:ascii="Arial" w:hAnsi="Arial" w:cs="Arial"/>
        </w:rPr>
        <w:fldChar w:fldCharType="separate"/>
      </w:r>
      <w:r w:rsidR="006F1CE8" w:rsidRPr="006F1CE8">
        <w:rPr>
          <w:rFonts w:ascii="Arial" w:hAnsi="Arial" w:cs="Arial"/>
          <w:noProof/>
          <w:szCs w:val="24"/>
        </w:rPr>
        <w:t>1.</w:t>
      </w:r>
      <w:r w:rsidR="006F1CE8" w:rsidRPr="006F1CE8">
        <w:rPr>
          <w:rFonts w:ascii="Arial" w:hAnsi="Arial" w:cs="Arial"/>
          <w:noProof/>
          <w:szCs w:val="24"/>
        </w:rPr>
        <w:tab/>
        <w:t xml:space="preserve">Tuttle, M. D. </w:t>
      </w:r>
      <w:r w:rsidR="006F1CE8" w:rsidRPr="006F1CE8">
        <w:rPr>
          <w:rFonts w:ascii="Arial" w:hAnsi="Arial" w:cs="Arial"/>
          <w:i/>
          <w:iCs/>
          <w:noProof/>
          <w:szCs w:val="24"/>
        </w:rPr>
        <w:t>et al.</w:t>
      </w:r>
      <w:r w:rsidR="006F1CE8" w:rsidRPr="006F1CE8">
        <w:rPr>
          <w:rFonts w:ascii="Arial" w:hAnsi="Arial" w:cs="Arial"/>
          <w:noProof/>
          <w:szCs w:val="24"/>
        </w:rPr>
        <w:t xml:space="preserve"> Solid-state NMR structure of a pathogenic fibril of full-length human α-synuclein. </w:t>
      </w:r>
      <w:r w:rsidR="006F1CE8" w:rsidRPr="006F1CE8">
        <w:rPr>
          <w:rFonts w:ascii="Arial" w:hAnsi="Arial" w:cs="Arial"/>
          <w:i/>
          <w:iCs/>
          <w:noProof/>
          <w:szCs w:val="24"/>
        </w:rPr>
        <w:t>Nat. Struct. Mol. Biol.</w:t>
      </w:r>
      <w:r w:rsidR="006F1CE8" w:rsidRPr="006F1CE8">
        <w:rPr>
          <w:rFonts w:ascii="Arial" w:hAnsi="Arial" w:cs="Arial"/>
          <w:noProof/>
          <w:szCs w:val="24"/>
        </w:rPr>
        <w:t xml:space="preserve"> </w:t>
      </w:r>
      <w:r w:rsidR="006F1CE8" w:rsidRPr="006F1CE8">
        <w:rPr>
          <w:rFonts w:ascii="Arial" w:hAnsi="Arial" w:cs="Arial"/>
          <w:b/>
          <w:bCs/>
          <w:noProof/>
          <w:szCs w:val="24"/>
        </w:rPr>
        <w:t>23,</w:t>
      </w:r>
      <w:r w:rsidR="006F1CE8" w:rsidRPr="006F1CE8">
        <w:rPr>
          <w:rFonts w:ascii="Arial" w:hAnsi="Arial" w:cs="Arial"/>
          <w:noProof/>
          <w:szCs w:val="24"/>
        </w:rPr>
        <w:t xml:space="preserve"> 409–415 (2016).</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2.</w:t>
      </w:r>
      <w:r w:rsidRPr="006F1CE8">
        <w:rPr>
          <w:rFonts w:ascii="Arial" w:hAnsi="Arial" w:cs="Arial"/>
          <w:noProof/>
          <w:szCs w:val="24"/>
        </w:rPr>
        <w:tab/>
        <w:t xml:space="preserve">Fitzpatrick, A. W. P. </w:t>
      </w:r>
      <w:r w:rsidRPr="006F1CE8">
        <w:rPr>
          <w:rFonts w:ascii="Arial" w:hAnsi="Arial" w:cs="Arial"/>
          <w:i/>
          <w:iCs/>
          <w:noProof/>
          <w:szCs w:val="24"/>
        </w:rPr>
        <w:t>et al.</w:t>
      </w:r>
      <w:r w:rsidRPr="006F1CE8">
        <w:rPr>
          <w:rFonts w:ascii="Arial" w:hAnsi="Arial" w:cs="Arial"/>
          <w:noProof/>
          <w:szCs w:val="24"/>
        </w:rPr>
        <w:t xml:space="preserve"> Cryo-EM structures of tau filaments from Alzheimer’s disease. </w:t>
      </w:r>
      <w:r w:rsidRPr="006F1CE8">
        <w:rPr>
          <w:rFonts w:ascii="Arial" w:hAnsi="Arial" w:cs="Arial"/>
          <w:i/>
          <w:iCs/>
          <w:noProof/>
          <w:szCs w:val="24"/>
        </w:rPr>
        <w:t>Nature</w:t>
      </w:r>
      <w:r w:rsidRPr="006F1CE8">
        <w:rPr>
          <w:rFonts w:ascii="Arial" w:hAnsi="Arial" w:cs="Arial"/>
          <w:noProof/>
          <w:szCs w:val="24"/>
        </w:rPr>
        <w:t xml:space="preserve"> </w:t>
      </w:r>
      <w:r w:rsidRPr="006F1CE8">
        <w:rPr>
          <w:rFonts w:ascii="Arial" w:hAnsi="Arial" w:cs="Arial"/>
          <w:b/>
          <w:bCs/>
          <w:noProof/>
          <w:szCs w:val="24"/>
        </w:rPr>
        <w:t>547,</w:t>
      </w:r>
      <w:r w:rsidRPr="006F1CE8">
        <w:rPr>
          <w:rFonts w:ascii="Arial" w:hAnsi="Arial" w:cs="Arial"/>
          <w:noProof/>
          <w:szCs w:val="24"/>
        </w:rPr>
        <w:t xml:space="preserve"> 185–190 (2017).</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3.</w:t>
      </w:r>
      <w:r w:rsidRPr="006F1CE8">
        <w:rPr>
          <w:rFonts w:ascii="Arial" w:hAnsi="Arial" w:cs="Arial"/>
          <w:noProof/>
          <w:szCs w:val="24"/>
        </w:rPr>
        <w:tab/>
        <w:t xml:space="preserve">Tennstaedt, A. </w:t>
      </w:r>
      <w:r w:rsidRPr="006F1CE8">
        <w:rPr>
          <w:rFonts w:ascii="Arial" w:hAnsi="Arial" w:cs="Arial"/>
          <w:i/>
          <w:iCs/>
          <w:noProof/>
          <w:szCs w:val="24"/>
        </w:rPr>
        <w:t>et al.</w:t>
      </w:r>
      <w:r w:rsidRPr="006F1CE8">
        <w:rPr>
          <w:rFonts w:ascii="Arial" w:hAnsi="Arial" w:cs="Arial"/>
          <w:noProof/>
          <w:szCs w:val="24"/>
        </w:rPr>
        <w:t xml:space="preserve"> Human high temperature requirement serine protease A1 (HTRA1) degrades tau protein aggregates. </w:t>
      </w:r>
      <w:r w:rsidRPr="006F1CE8">
        <w:rPr>
          <w:rFonts w:ascii="Arial" w:hAnsi="Arial" w:cs="Arial"/>
          <w:i/>
          <w:iCs/>
          <w:noProof/>
          <w:szCs w:val="24"/>
        </w:rPr>
        <w:t>J. Biol. Chem.</w:t>
      </w:r>
      <w:r w:rsidRPr="006F1CE8">
        <w:rPr>
          <w:rFonts w:ascii="Arial" w:hAnsi="Arial" w:cs="Arial"/>
          <w:noProof/>
          <w:szCs w:val="24"/>
        </w:rPr>
        <w:t xml:space="preserve"> </w:t>
      </w:r>
      <w:r w:rsidRPr="006F1CE8">
        <w:rPr>
          <w:rFonts w:ascii="Arial" w:hAnsi="Arial" w:cs="Arial"/>
          <w:b/>
          <w:bCs/>
          <w:noProof/>
          <w:szCs w:val="24"/>
        </w:rPr>
        <w:t>287,</w:t>
      </w:r>
      <w:r w:rsidRPr="006F1CE8">
        <w:rPr>
          <w:rFonts w:ascii="Arial" w:hAnsi="Arial" w:cs="Arial"/>
          <w:noProof/>
          <w:szCs w:val="24"/>
        </w:rPr>
        <w:t xml:space="preserve"> 20931–20941 (2012).</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4.</w:t>
      </w:r>
      <w:r w:rsidRPr="006F1CE8">
        <w:rPr>
          <w:rFonts w:ascii="Arial" w:hAnsi="Arial" w:cs="Arial"/>
          <w:noProof/>
          <w:szCs w:val="24"/>
        </w:rPr>
        <w:tab/>
        <w:t xml:space="preserve">Eigenbrot, C. </w:t>
      </w:r>
      <w:r w:rsidRPr="006F1CE8">
        <w:rPr>
          <w:rFonts w:ascii="Arial" w:hAnsi="Arial" w:cs="Arial"/>
          <w:i/>
          <w:iCs/>
          <w:noProof/>
          <w:szCs w:val="24"/>
        </w:rPr>
        <w:t>et al.</w:t>
      </w:r>
      <w:r w:rsidRPr="006F1CE8">
        <w:rPr>
          <w:rFonts w:ascii="Arial" w:hAnsi="Arial" w:cs="Arial"/>
          <w:noProof/>
          <w:szCs w:val="24"/>
        </w:rPr>
        <w:t xml:space="preserve"> Structural and functional analysis of HtrA1 and its subdomains. </w:t>
      </w:r>
      <w:r w:rsidRPr="006F1CE8">
        <w:rPr>
          <w:rFonts w:ascii="Arial" w:hAnsi="Arial" w:cs="Arial"/>
          <w:i/>
          <w:iCs/>
          <w:noProof/>
          <w:szCs w:val="24"/>
        </w:rPr>
        <w:t>Structure</w:t>
      </w:r>
      <w:r w:rsidRPr="006F1CE8">
        <w:rPr>
          <w:rFonts w:ascii="Arial" w:hAnsi="Arial" w:cs="Arial"/>
          <w:noProof/>
          <w:szCs w:val="24"/>
        </w:rPr>
        <w:t xml:space="preserve"> </w:t>
      </w:r>
      <w:r w:rsidRPr="006F1CE8">
        <w:rPr>
          <w:rFonts w:ascii="Arial" w:hAnsi="Arial" w:cs="Arial"/>
          <w:b/>
          <w:bCs/>
          <w:noProof/>
          <w:szCs w:val="24"/>
        </w:rPr>
        <w:t>20,</w:t>
      </w:r>
      <w:r w:rsidRPr="006F1CE8">
        <w:rPr>
          <w:rFonts w:ascii="Arial" w:hAnsi="Arial" w:cs="Arial"/>
          <w:noProof/>
          <w:szCs w:val="24"/>
        </w:rPr>
        <w:t xml:space="preserve"> 1040–1050 (2012).</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5.</w:t>
      </w:r>
      <w:r w:rsidRPr="006F1CE8">
        <w:rPr>
          <w:rFonts w:ascii="Arial" w:hAnsi="Arial" w:cs="Arial"/>
          <w:noProof/>
          <w:szCs w:val="24"/>
        </w:rPr>
        <w:tab/>
        <w:t xml:space="preserve">Runyon, S. T. </w:t>
      </w:r>
      <w:r w:rsidRPr="006F1CE8">
        <w:rPr>
          <w:rFonts w:ascii="Arial" w:hAnsi="Arial" w:cs="Arial"/>
          <w:i/>
          <w:iCs/>
          <w:noProof/>
          <w:szCs w:val="24"/>
        </w:rPr>
        <w:t>et al.</w:t>
      </w:r>
      <w:r w:rsidRPr="006F1CE8">
        <w:rPr>
          <w:rFonts w:ascii="Arial" w:hAnsi="Arial" w:cs="Arial"/>
          <w:noProof/>
          <w:szCs w:val="24"/>
        </w:rPr>
        <w:t xml:space="preserve"> Structural and functional analysis of the PDZ domains of human HtrA1 and HtrA3. </w:t>
      </w:r>
      <w:r w:rsidRPr="006F1CE8">
        <w:rPr>
          <w:rFonts w:ascii="Arial" w:hAnsi="Arial" w:cs="Arial"/>
          <w:i/>
          <w:iCs/>
          <w:noProof/>
          <w:szCs w:val="24"/>
        </w:rPr>
        <w:t>Protein Sci.</w:t>
      </w:r>
      <w:r w:rsidRPr="006F1CE8">
        <w:rPr>
          <w:rFonts w:ascii="Arial" w:hAnsi="Arial" w:cs="Arial"/>
          <w:noProof/>
          <w:szCs w:val="24"/>
        </w:rPr>
        <w:t xml:space="preserve"> </w:t>
      </w:r>
      <w:r w:rsidRPr="006F1CE8">
        <w:rPr>
          <w:rFonts w:ascii="Arial" w:hAnsi="Arial" w:cs="Arial"/>
          <w:b/>
          <w:bCs/>
          <w:noProof/>
          <w:szCs w:val="24"/>
        </w:rPr>
        <w:t>16,</w:t>
      </w:r>
      <w:r w:rsidRPr="006F1CE8">
        <w:rPr>
          <w:rFonts w:ascii="Arial" w:hAnsi="Arial" w:cs="Arial"/>
          <w:noProof/>
          <w:szCs w:val="24"/>
        </w:rPr>
        <w:t xml:space="preserve"> 2454–2471 (2007).</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6.</w:t>
      </w:r>
      <w:r w:rsidRPr="006F1CE8">
        <w:rPr>
          <w:rFonts w:ascii="Arial" w:hAnsi="Arial" w:cs="Arial"/>
          <w:noProof/>
          <w:szCs w:val="24"/>
        </w:rPr>
        <w:tab/>
        <w:t xml:space="preserve">Zurawa-Janicka, D. </w:t>
      </w:r>
      <w:r w:rsidRPr="006F1CE8">
        <w:rPr>
          <w:rFonts w:ascii="Arial" w:hAnsi="Arial" w:cs="Arial"/>
          <w:i/>
          <w:iCs/>
          <w:noProof/>
          <w:szCs w:val="24"/>
        </w:rPr>
        <w:t>et al.</w:t>
      </w:r>
      <w:r w:rsidRPr="006F1CE8">
        <w:rPr>
          <w:rFonts w:ascii="Arial" w:hAnsi="Arial" w:cs="Arial"/>
          <w:noProof/>
          <w:szCs w:val="24"/>
        </w:rPr>
        <w:t xml:space="preserve"> Structural insights into the activation mechanisms of human HtrA serine proteases. </w:t>
      </w:r>
      <w:r w:rsidRPr="006F1CE8">
        <w:rPr>
          <w:rFonts w:ascii="Arial" w:hAnsi="Arial" w:cs="Arial"/>
          <w:i/>
          <w:iCs/>
          <w:noProof/>
          <w:szCs w:val="24"/>
        </w:rPr>
        <w:t>Arch. Biochem. Biophys.</w:t>
      </w:r>
      <w:r w:rsidRPr="006F1CE8">
        <w:rPr>
          <w:rFonts w:ascii="Arial" w:hAnsi="Arial" w:cs="Arial"/>
          <w:noProof/>
          <w:szCs w:val="24"/>
        </w:rPr>
        <w:t xml:space="preserve"> </w:t>
      </w:r>
      <w:r w:rsidRPr="006F1CE8">
        <w:rPr>
          <w:rFonts w:ascii="Arial" w:hAnsi="Arial" w:cs="Arial"/>
          <w:b/>
          <w:bCs/>
          <w:noProof/>
          <w:szCs w:val="24"/>
        </w:rPr>
        <w:t>621,</w:t>
      </w:r>
      <w:r w:rsidRPr="006F1CE8">
        <w:rPr>
          <w:rFonts w:ascii="Arial" w:hAnsi="Arial" w:cs="Arial"/>
          <w:noProof/>
          <w:szCs w:val="24"/>
        </w:rPr>
        <w:t xml:space="preserve"> 6–23 (2017).</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7.</w:t>
      </w:r>
      <w:r w:rsidRPr="006F1CE8">
        <w:rPr>
          <w:rFonts w:ascii="Arial" w:hAnsi="Arial" w:cs="Arial"/>
          <w:noProof/>
          <w:szCs w:val="24"/>
        </w:rPr>
        <w:tab/>
        <w:t xml:space="preserve">Truebestein, L. </w:t>
      </w:r>
      <w:r w:rsidRPr="006F1CE8">
        <w:rPr>
          <w:rFonts w:ascii="Arial" w:hAnsi="Arial" w:cs="Arial"/>
          <w:i/>
          <w:iCs/>
          <w:noProof/>
          <w:szCs w:val="24"/>
        </w:rPr>
        <w:t>et al.</w:t>
      </w:r>
      <w:r w:rsidRPr="006F1CE8">
        <w:rPr>
          <w:rFonts w:ascii="Arial" w:hAnsi="Arial" w:cs="Arial"/>
          <w:noProof/>
          <w:szCs w:val="24"/>
        </w:rPr>
        <w:t xml:space="preserve"> Substrate-induced remodeling of the active site regulates human HTRA1 activity. </w:t>
      </w:r>
      <w:r w:rsidRPr="006F1CE8">
        <w:rPr>
          <w:rFonts w:ascii="Arial" w:hAnsi="Arial" w:cs="Arial"/>
          <w:i/>
          <w:iCs/>
          <w:noProof/>
          <w:szCs w:val="24"/>
        </w:rPr>
        <w:t>Nat. Struct. Mol. Biol.</w:t>
      </w:r>
      <w:r w:rsidRPr="006F1CE8">
        <w:rPr>
          <w:rFonts w:ascii="Arial" w:hAnsi="Arial" w:cs="Arial"/>
          <w:noProof/>
          <w:szCs w:val="24"/>
        </w:rPr>
        <w:t xml:space="preserve"> </w:t>
      </w:r>
      <w:r w:rsidRPr="006F1CE8">
        <w:rPr>
          <w:rFonts w:ascii="Arial" w:hAnsi="Arial" w:cs="Arial"/>
          <w:b/>
          <w:bCs/>
          <w:noProof/>
          <w:szCs w:val="24"/>
        </w:rPr>
        <w:t>18,</w:t>
      </w:r>
      <w:r w:rsidRPr="006F1CE8">
        <w:rPr>
          <w:rFonts w:ascii="Arial" w:hAnsi="Arial" w:cs="Arial"/>
          <w:noProof/>
          <w:szCs w:val="24"/>
        </w:rPr>
        <w:t xml:space="preserve"> 386–388 (2011).</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8.</w:t>
      </w:r>
      <w:r w:rsidRPr="006F1CE8">
        <w:rPr>
          <w:rFonts w:ascii="Arial" w:hAnsi="Arial" w:cs="Arial"/>
          <w:noProof/>
          <w:szCs w:val="24"/>
        </w:rPr>
        <w:tab/>
        <w:t xml:space="preserve">Poepsel, S. </w:t>
      </w:r>
      <w:r w:rsidRPr="006F1CE8">
        <w:rPr>
          <w:rFonts w:ascii="Arial" w:hAnsi="Arial" w:cs="Arial"/>
          <w:i/>
          <w:iCs/>
          <w:noProof/>
          <w:szCs w:val="24"/>
        </w:rPr>
        <w:t>et al.</w:t>
      </w:r>
      <w:r w:rsidRPr="006F1CE8">
        <w:rPr>
          <w:rFonts w:ascii="Arial" w:hAnsi="Arial" w:cs="Arial"/>
          <w:noProof/>
          <w:szCs w:val="24"/>
        </w:rPr>
        <w:t xml:space="preserve"> Determinants of amyloid fibril degradation by the PDZ protease HTRA1. </w:t>
      </w:r>
      <w:r w:rsidRPr="006F1CE8">
        <w:rPr>
          <w:rFonts w:ascii="Arial" w:hAnsi="Arial" w:cs="Arial"/>
          <w:i/>
          <w:iCs/>
          <w:noProof/>
          <w:szCs w:val="24"/>
        </w:rPr>
        <w:t>Nat. Chem. Biol.</w:t>
      </w:r>
      <w:r w:rsidRPr="006F1CE8">
        <w:rPr>
          <w:rFonts w:ascii="Arial" w:hAnsi="Arial" w:cs="Arial"/>
          <w:noProof/>
          <w:szCs w:val="24"/>
        </w:rPr>
        <w:t xml:space="preserve"> </w:t>
      </w:r>
      <w:r w:rsidRPr="006F1CE8">
        <w:rPr>
          <w:rFonts w:ascii="Arial" w:hAnsi="Arial" w:cs="Arial"/>
          <w:b/>
          <w:bCs/>
          <w:noProof/>
          <w:szCs w:val="24"/>
        </w:rPr>
        <w:t>11,</w:t>
      </w:r>
      <w:r w:rsidRPr="006F1CE8">
        <w:rPr>
          <w:rFonts w:ascii="Arial" w:hAnsi="Arial" w:cs="Arial"/>
          <w:noProof/>
          <w:szCs w:val="24"/>
        </w:rPr>
        <w:t xml:space="preserve"> 862–869 (2015).</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9.</w:t>
      </w:r>
      <w:r w:rsidRPr="006F1CE8">
        <w:rPr>
          <w:rFonts w:ascii="Arial" w:hAnsi="Arial" w:cs="Arial"/>
          <w:noProof/>
          <w:szCs w:val="24"/>
        </w:rPr>
        <w:tab/>
        <w:t xml:space="preserve">Hillier, B. J., Christopherson, K. S., Prehoda, K. E., Bredt, D. S. &amp; Lim, W. A. Unexpected modes of PDZ domain scaffolding revealed by structure of nNOS-syntrophin complex. </w:t>
      </w:r>
      <w:r w:rsidRPr="006F1CE8">
        <w:rPr>
          <w:rFonts w:ascii="Arial" w:hAnsi="Arial" w:cs="Arial"/>
          <w:i/>
          <w:iCs/>
          <w:noProof/>
          <w:szCs w:val="24"/>
        </w:rPr>
        <w:t>Science (80-. ).</w:t>
      </w:r>
      <w:r w:rsidRPr="006F1CE8">
        <w:rPr>
          <w:rFonts w:ascii="Arial" w:hAnsi="Arial" w:cs="Arial"/>
          <w:noProof/>
          <w:szCs w:val="24"/>
        </w:rPr>
        <w:t xml:space="preserve"> </w:t>
      </w:r>
      <w:r w:rsidRPr="006F1CE8">
        <w:rPr>
          <w:rFonts w:ascii="Arial" w:hAnsi="Arial" w:cs="Arial"/>
          <w:b/>
          <w:bCs/>
          <w:noProof/>
          <w:szCs w:val="24"/>
        </w:rPr>
        <w:t>284,</w:t>
      </w:r>
      <w:r w:rsidRPr="006F1CE8">
        <w:rPr>
          <w:rFonts w:ascii="Arial" w:hAnsi="Arial" w:cs="Arial"/>
          <w:noProof/>
          <w:szCs w:val="24"/>
        </w:rPr>
        <w:t xml:space="preserve"> 812–815 (1999).</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10.</w:t>
      </w:r>
      <w:r w:rsidRPr="006F1CE8">
        <w:rPr>
          <w:rFonts w:ascii="Arial" w:hAnsi="Arial" w:cs="Arial"/>
          <w:noProof/>
          <w:szCs w:val="24"/>
        </w:rPr>
        <w:tab/>
        <w:t xml:space="preserve">Wilken, C., Kitzing, K., Kurzbauer, R., Ehrmann, M. &amp; Clausen, T. Crystal Structure of the DegS Stress Sensor: How a PDZ Domain Recognizes Misfolded Protein and Activates a Protease. </w:t>
      </w:r>
      <w:r w:rsidRPr="006F1CE8">
        <w:rPr>
          <w:rFonts w:ascii="Arial" w:hAnsi="Arial" w:cs="Arial"/>
          <w:i/>
          <w:iCs/>
          <w:noProof/>
          <w:szCs w:val="24"/>
        </w:rPr>
        <w:t>Cell</w:t>
      </w:r>
      <w:r w:rsidRPr="006F1CE8">
        <w:rPr>
          <w:rFonts w:ascii="Arial" w:hAnsi="Arial" w:cs="Arial"/>
          <w:noProof/>
          <w:szCs w:val="24"/>
        </w:rPr>
        <w:t xml:space="preserve"> </w:t>
      </w:r>
      <w:r w:rsidRPr="006F1CE8">
        <w:rPr>
          <w:rFonts w:ascii="Arial" w:hAnsi="Arial" w:cs="Arial"/>
          <w:b/>
          <w:bCs/>
          <w:noProof/>
          <w:szCs w:val="24"/>
        </w:rPr>
        <w:t>117,</w:t>
      </w:r>
      <w:r w:rsidRPr="006F1CE8">
        <w:rPr>
          <w:rFonts w:ascii="Arial" w:hAnsi="Arial" w:cs="Arial"/>
          <w:noProof/>
          <w:szCs w:val="24"/>
        </w:rPr>
        <w:t xml:space="preserve"> 483–494 (2004).</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11.</w:t>
      </w:r>
      <w:r w:rsidRPr="006F1CE8">
        <w:rPr>
          <w:rFonts w:ascii="Arial" w:hAnsi="Arial" w:cs="Arial"/>
          <w:noProof/>
          <w:szCs w:val="24"/>
        </w:rPr>
        <w:tab/>
        <w:t xml:space="preserve">de Regt, A. K., Baker, T. A. &amp; Sauer, R. T. Steric clashes with bound OMP peptides activate the DegS stress-response protease. </w:t>
      </w:r>
      <w:r w:rsidRPr="006F1CE8">
        <w:rPr>
          <w:rFonts w:ascii="Arial" w:hAnsi="Arial" w:cs="Arial"/>
          <w:i/>
          <w:iCs/>
          <w:noProof/>
          <w:szCs w:val="24"/>
        </w:rPr>
        <w:t>Proc. Natl. Acad. Sci.</w:t>
      </w:r>
      <w:r w:rsidRPr="006F1CE8">
        <w:rPr>
          <w:rFonts w:ascii="Arial" w:hAnsi="Arial" w:cs="Arial"/>
          <w:noProof/>
          <w:szCs w:val="24"/>
        </w:rPr>
        <w:t xml:space="preserve"> </w:t>
      </w:r>
      <w:r w:rsidRPr="006F1CE8">
        <w:rPr>
          <w:rFonts w:ascii="Arial" w:hAnsi="Arial" w:cs="Arial"/>
          <w:b/>
          <w:bCs/>
          <w:noProof/>
          <w:szCs w:val="24"/>
        </w:rPr>
        <w:t>112,</w:t>
      </w:r>
      <w:r w:rsidRPr="006F1CE8">
        <w:rPr>
          <w:rFonts w:ascii="Arial" w:hAnsi="Arial" w:cs="Arial"/>
          <w:noProof/>
          <w:szCs w:val="24"/>
        </w:rPr>
        <w:t xml:space="preserve"> 3326–3331 (2015).</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szCs w:val="24"/>
        </w:rPr>
      </w:pPr>
      <w:r w:rsidRPr="006F1CE8">
        <w:rPr>
          <w:rFonts w:ascii="Arial" w:hAnsi="Arial" w:cs="Arial"/>
          <w:noProof/>
          <w:szCs w:val="24"/>
        </w:rPr>
        <w:t>12.</w:t>
      </w:r>
      <w:r w:rsidRPr="006F1CE8">
        <w:rPr>
          <w:rFonts w:ascii="Arial" w:hAnsi="Arial" w:cs="Arial"/>
          <w:noProof/>
          <w:szCs w:val="24"/>
        </w:rPr>
        <w:tab/>
        <w:t xml:space="preserve">Burman, S. S. R., Marze, N. A., Sheffler, W. &amp; Gray, J. J. Efficient Flexible-Backbone Docking of Challenging Protein Complexes. </w:t>
      </w:r>
      <w:r w:rsidRPr="006F1CE8">
        <w:rPr>
          <w:rFonts w:ascii="Arial" w:hAnsi="Arial" w:cs="Arial"/>
          <w:i/>
          <w:iCs/>
          <w:noProof/>
          <w:szCs w:val="24"/>
        </w:rPr>
        <w:t>Biophys. J.</w:t>
      </w:r>
      <w:r w:rsidRPr="006F1CE8">
        <w:rPr>
          <w:rFonts w:ascii="Arial" w:hAnsi="Arial" w:cs="Arial"/>
          <w:noProof/>
          <w:szCs w:val="24"/>
        </w:rPr>
        <w:t xml:space="preserve"> </w:t>
      </w:r>
      <w:r w:rsidRPr="006F1CE8">
        <w:rPr>
          <w:rFonts w:ascii="Arial" w:hAnsi="Arial" w:cs="Arial"/>
          <w:b/>
          <w:bCs/>
          <w:noProof/>
          <w:szCs w:val="24"/>
        </w:rPr>
        <w:t>114,</w:t>
      </w:r>
      <w:r w:rsidRPr="006F1CE8">
        <w:rPr>
          <w:rFonts w:ascii="Arial" w:hAnsi="Arial" w:cs="Arial"/>
          <w:noProof/>
          <w:szCs w:val="24"/>
        </w:rPr>
        <w:t xml:space="preserve"> 344a (2018).</w:t>
      </w:r>
    </w:p>
    <w:p w:rsidR="006F1CE8" w:rsidRPr="006F1CE8" w:rsidRDefault="006F1CE8" w:rsidP="006F1CE8">
      <w:pPr>
        <w:widowControl w:val="0"/>
        <w:autoSpaceDE w:val="0"/>
        <w:autoSpaceDN w:val="0"/>
        <w:adjustRightInd w:val="0"/>
        <w:spacing w:line="240" w:lineRule="auto"/>
        <w:ind w:left="640" w:hanging="640"/>
        <w:rPr>
          <w:rFonts w:ascii="Arial" w:hAnsi="Arial" w:cs="Arial"/>
          <w:noProof/>
        </w:rPr>
      </w:pPr>
      <w:r w:rsidRPr="006F1CE8">
        <w:rPr>
          <w:rFonts w:ascii="Arial" w:hAnsi="Arial" w:cs="Arial"/>
          <w:noProof/>
          <w:szCs w:val="24"/>
        </w:rPr>
        <w:t>13.</w:t>
      </w:r>
      <w:r w:rsidRPr="006F1CE8">
        <w:rPr>
          <w:rFonts w:ascii="Arial" w:hAnsi="Arial" w:cs="Arial"/>
          <w:noProof/>
          <w:szCs w:val="24"/>
        </w:rPr>
        <w:tab/>
        <w:t xml:space="preserve">Jo, H., Patterson, V., Stoessel, S., Kuan, C.-Y. &amp; Hoh, J. Protoporphyrins Enhance Oligomerization and Enzymatic Activity of HtrA1 Serine Protease. </w:t>
      </w:r>
      <w:r w:rsidRPr="006F1CE8">
        <w:rPr>
          <w:rFonts w:ascii="Arial" w:hAnsi="Arial" w:cs="Arial"/>
          <w:i/>
          <w:iCs/>
          <w:noProof/>
          <w:szCs w:val="24"/>
        </w:rPr>
        <w:t>PLoS One</w:t>
      </w:r>
      <w:r w:rsidRPr="006F1CE8">
        <w:rPr>
          <w:rFonts w:ascii="Arial" w:hAnsi="Arial" w:cs="Arial"/>
          <w:noProof/>
          <w:szCs w:val="24"/>
        </w:rPr>
        <w:t xml:space="preserve"> </w:t>
      </w:r>
      <w:r w:rsidRPr="006F1CE8">
        <w:rPr>
          <w:rFonts w:ascii="Arial" w:hAnsi="Arial" w:cs="Arial"/>
          <w:b/>
          <w:bCs/>
          <w:noProof/>
          <w:szCs w:val="24"/>
        </w:rPr>
        <w:t>9,</w:t>
      </w:r>
      <w:r w:rsidRPr="006F1CE8">
        <w:rPr>
          <w:rFonts w:ascii="Arial" w:hAnsi="Arial" w:cs="Arial"/>
          <w:noProof/>
          <w:szCs w:val="24"/>
        </w:rPr>
        <w:t xml:space="preserve"> e115362 (2014).</w:t>
      </w:r>
    </w:p>
    <w:p w:rsidR="00B7340E" w:rsidRDefault="00533095" w:rsidP="009B0224">
      <w:pPr>
        <w:ind w:firstLine="720"/>
        <w:jc w:val="both"/>
        <w:rPr>
          <w:rFonts w:ascii="Arial" w:hAnsi="Arial" w:cs="Arial"/>
        </w:rPr>
      </w:pPr>
      <w:r>
        <w:rPr>
          <w:rFonts w:ascii="Arial" w:hAnsi="Arial" w:cs="Arial"/>
        </w:rPr>
        <w:fldChar w:fldCharType="end"/>
      </w:r>
    </w:p>
    <w:p w:rsidR="00B7340E" w:rsidRDefault="00B7340E">
      <w:pPr>
        <w:rPr>
          <w:rFonts w:ascii="Arial" w:hAnsi="Arial" w:cs="Arial"/>
        </w:rPr>
      </w:pPr>
      <w:r>
        <w:rPr>
          <w:rFonts w:ascii="Arial" w:hAnsi="Arial" w:cs="Arial"/>
        </w:rPr>
        <w:br w:type="page"/>
      </w:r>
    </w:p>
    <w:p w:rsidR="00E65074" w:rsidRPr="00E65074" w:rsidRDefault="00E65074" w:rsidP="00E65074">
      <w:pPr>
        <w:jc w:val="both"/>
        <w:rPr>
          <w:rFonts w:ascii="Arial" w:hAnsi="Arial" w:cs="Arial"/>
          <w:b/>
        </w:rPr>
      </w:pPr>
      <w:r w:rsidRPr="00E65074">
        <w:rPr>
          <w:rFonts w:ascii="Arial" w:hAnsi="Arial" w:cs="Arial"/>
          <w:b/>
        </w:rPr>
        <w:lastRenderedPageBreak/>
        <w:t>Experiment ideas</w:t>
      </w:r>
    </w:p>
    <w:p w:rsidR="00E65074" w:rsidRDefault="00E65074" w:rsidP="00E65074">
      <w:pPr>
        <w:jc w:val="both"/>
        <w:rPr>
          <w:rFonts w:ascii="Arial" w:hAnsi="Arial" w:cs="Arial"/>
        </w:rPr>
      </w:pPr>
    </w:p>
    <w:p w:rsidR="00F46B3F" w:rsidRDefault="00D83AAB" w:rsidP="00E65074">
      <w:pPr>
        <w:jc w:val="both"/>
        <w:rPr>
          <w:rFonts w:ascii="Arial" w:hAnsi="Arial" w:cs="Arial"/>
        </w:rPr>
      </w:pPr>
      <w:r>
        <w:rPr>
          <w:rFonts w:ascii="Arial" w:hAnsi="Arial" w:cs="Arial"/>
        </w:rPr>
        <w:t>Sequential isotopic labeling with native chemical ligation and peptide synthesis</w:t>
      </w:r>
    </w:p>
    <w:p w:rsidR="00D83AAB" w:rsidRDefault="00D83AAB" w:rsidP="00D83AAB">
      <w:pPr>
        <w:jc w:val="both"/>
        <w:rPr>
          <w:rFonts w:ascii="Arial" w:hAnsi="Arial" w:cs="Arial"/>
        </w:rPr>
      </w:pPr>
      <w:r>
        <w:rPr>
          <w:rFonts w:ascii="Arial" w:hAnsi="Arial" w:cs="Arial"/>
        </w:rPr>
        <w:t>CSP on the PDZ domain in the presence and absence of protease including the S238A</w:t>
      </w:r>
    </w:p>
    <w:p w:rsidR="00D83AAB" w:rsidRDefault="00D83AAB" w:rsidP="00D83AAB">
      <w:pPr>
        <w:jc w:val="both"/>
        <w:rPr>
          <w:rFonts w:ascii="Arial" w:hAnsi="Arial" w:cs="Arial"/>
        </w:rPr>
      </w:pPr>
      <w:r>
        <w:rPr>
          <w:rFonts w:ascii="Arial" w:hAnsi="Arial" w:cs="Arial"/>
        </w:rPr>
        <w:t>HDX on fibril with protease bound (protease should shield from exchange)</w:t>
      </w:r>
    </w:p>
    <w:p w:rsidR="00D83AAB" w:rsidRDefault="00D83AAB" w:rsidP="00D83AAB">
      <w:pPr>
        <w:jc w:val="both"/>
        <w:rPr>
          <w:rFonts w:ascii="Arial" w:hAnsi="Arial" w:cs="Arial"/>
        </w:rPr>
      </w:pPr>
      <w:r>
        <w:rPr>
          <w:rFonts w:ascii="Arial" w:hAnsi="Arial" w:cs="Arial"/>
        </w:rPr>
        <w:t xml:space="preserve">N-terminal MS to identify sites of cleavage </w:t>
      </w:r>
      <w:proofErr w:type="spellStart"/>
      <w:r>
        <w:rPr>
          <w:rFonts w:ascii="Arial" w:hAnsi="Arial" w:cs="Arial"/>
        </w:rPr>
        <w:t>subtligase</w:t>
      </w:r>
      <w:proofErr w:type="spellEnd"/>
    </w:p>
    <w:p w:rsidR="00D83AAB" w:rsidRDefault="00D83AAB" w:rsidP="00D83AAB">
      <w:pPr>
        <w:jc w:val="both"/>
        <w:rPr>
          <w:rFonts w:ascii="Arial" w:hAnsi="Arial" w:cs="Arial"/>
        </w:rPr>
      </w:pPr>
      <w:r>
        <w:rPr>
          <w:rFonts w:ascii="Arial" w:hAnsi="Arial" w:cs="Arial"/>
        </w:rPr>
        <w:t>CSP on the protease domain</w:t>
      </w:r>
      <w:bookmarkStart w:id="0" w:name="_GoBack"/>
      <w:bookmarkEnd w:id="0"/>
      <w:r>
        <w:rPr>
          <w:rFonts w:ascii="Arial" w:hAnsi="Arial" w:cs="Arial"/>
        </w:rPr>
        <w:t xml:space="preserve"> in the presence and absence of PDZ</w:t>
      </w:r>
    </w:p>
    <w:p w:rsidR="00E65074" w:rsidRDefault="00E65074" w:rsidP="00D83AAB">
      <w:pPr>
        <w:jc w:val="both"/>
        <w:rPr>
          <w:rFonts w:ascii="Arial" w:hAnsi="Arial" w:cs="Arial"/>
        </w:rPr>
      </w:pPr>
      <w:r>
        <w:rPr>
          <w:rFonts w:ascii="Arial" w:hAnsi="Arial" w:cs="Arial"/>
        </w:rPr>
        <w:t>CSP soluble vs fibril with catalytically inactive protease</w:t>
      </w:r>
    </w:p>
    <w:p w:rsidR="00E65074" w:rsidRDefault="00E65074" w:rsidP="00D83AAB">
      <w:pPr>
        <w:jc w:val="both"/>
        <w:rPr>
          <w:rFonts w:ascii="Arial" w:hAnsi="Arial" w:cs="Arial"/>
        </w:rPr>
      </w:pPr>
      <w:r>
        <w:rPr>
          <w:rFonts w:ascii="Arial" w:hAnsi="Arial" w:cs="Arial"/>
        </w:rPr>
        <w:t xml:space="preserve">Modifying Htra1 to permit single cut then permanent binding (halo tag? </w:t>
      </w:r>
      <w:proofErr w:type="spellStart"/>
      <w:r>
        <w:rPr>
          <w:rFonts w:ascii="Arial" w:hAnsi="Arial" w:cs="Arial"/>
        </w:rPr>
        <w:t>Hist</w:t>
      </w:r>
      <w:proofErr w:type="spellEnd"/>
      <w:r>
        <w:rPr>
          <w:rFonts w:ascii="Arial" w:hAnsi="Arial" w:cs="Arial"/>
        </w:rPr>
        <w:t xml:space="preserve"> </w:t>
      </w:r>
      <w:proofErr w:type="spellStart"/>
      <w:r>
        <w:rPr>
          <w:rFonts w:ascii="Arial" w:hAnsi="Arial" w:cs="Arial"/>
        </w:rPr>
        <w:t>mut</w:t>
      </w:r>
      <w:proofErr w:type="spellEnd"/>
      <w:r>
        <w:rPr>
          <w:rFonts w:ascii="Arial" w:hAnsi="Arial" w:cs="Arial"/>
        </w:rPr>
        <w:t>?)</w:t>
      </w:r>
    </w:p>
    <w:p w:rsidR="00D83AAB" w:rsidRDefault="00D83AAB" w:rsidP="00D83AAB">
      <w:pPr>
        <w:jc w:val="both"/>
        <w:rPr>
          <w:rFonts w:ascii="Arial" w:hAnsi="Arial" w:cs="Arial"/>
        </w:rPr>
      </w:pPr>
    </w:p>
    <w:p w:rsidR="00F46B3F" w:rsidRDefault="00F46B3F">
      <w:pPr>
        <w:rPr>
          <w:rFonts w:ascii="Arial" w:hAnsi="Arial" w:cs="Arial"/>
        </w:rPr>
      </w:pPr>
      <w:r>
        <w:rPr>
          <w:rFonts w:ascii="Arial" w:hAnsi="Arial" w:cs="Arial"/>
        </w:rPr>
        <w:br w:type="page"/>
      </w:r>
    </w:p>
    <w:p w:rsidR="001C1457" w:rsidRDefault="001C1457" w:rsidP="001C1457">
      <w:pPr>
        <w:jc w:val="both"/>
        <w:rPr>
          <w:rFonts w:ascii="Arial" w:hAnsi="Arial" w:cs="Arial"/>
        </w:rPr>
      </w:pPr>
      <w:r>
        <w:rPr>
          <w:rFonts w:ascii="Arial" w:hAnsi="Arial" w:cs="Arial"/>
        </w:rPr>
        <w:lastRenderedPageBreak/>
        <w:t>Hillier, 1999</w:t>
      </w:r>
    </w:p>
    <w:p w:rsidR="001C1457" w:rsidRDefault="001C1457" w:rsidP="001C1457">
      <w:pPr>
        <w:jc w:val="both"/>
        <w:rPr>
          <w:rFonts w:ascii="Arial" w:hAnsi="Arial" w:cs="Arial"/>
        </w:rPr>
      </w:pPr>
      <w:r>
        <w:rPr>
          <w:noProof/>
        </w:rPr>
        <w:drawing>
          <wp:inline distT="0" distB="0" distL="0" distR="0" wp14:anchorId="11C89BB4" wp14:editId="12FBF8CC">
            <wp:extent cx="5943600" cy="1183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83005"/>
                    </a:xfrm>
                    <a:prstGeom prst="rect">
                      <a:avLst/>
                    </a:prstGeom>
                  </pic:spPr>
                </pic:pic>
              </a:graphicData>
            </a:graphic>
          </wp:inline>
        </w:drawing>
      </w:r>
    </w:p>
    <w:p w:rsidR="001C1457" w:rsidRDefault="001C1457" w:rsidP="001C1457">
      <w:pPr>
        <w:jc w:val="both"/>
        <w:rPr>
          <w:rFonts w:ascii="Arial" w:hAnsi="Arial" w:cs="Arial"/>
        </w:rPr>
      </w:pPr>
    </w:p>
    <w:p w:rsidR="001C1457" w:rsidRDefault="001C1457" w:rsidP="001C1457">
      <w:pPr>
        <w:jc w:val="both"/>
        <w:rPr>
          <w:rFonts w:ascii="Arial" w:hAnsi="Arial" w:cs="Arial"/>
        </w:rPr>
      </w:pPr>
      <w:r>
        <w:rPr>
          <w:rFonts w:ascii="Arial" w:hAnsi="Arial" w:cs="Arial"/>
        </w:rPr>
        <w:t>Wilkin, 2004</w:t>
      </w:r>
    </w:p>
    <w:p w:rsidR="001C1457" w:rsidRDefault="001C1457" w:rsidP="001C1457">
      <w:pPr>
        <w:jc w:val="both"/>
        <w:rPr>
          <w:rFonts w:ascii="Arial" w:hAnsi="Arial" w:cs="Arial"/>
        </w:rPr>
      </w:pPr>
      <w:r>
        <w:rPr>
          <w:noProof/>
        </w:rPr>
        <w:drawing>
          <wp:inline distT="0" distB="0" distL="0" distR="0" wp14:anchorId="05181FAB" wp14:editId="5B2953C5">
            <wp:extent cx="3920067" cy="291911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0810" cy="2942003"/>
                    </a:xfrm>
                    <a:prstGeom prst="rect">
                      <a:avLst/>
                    </a:prstGeom>
                  </pic:spPr>
                </pic:pic>
              </a:graphicData>
            </a:graphic>
          </wp:inline>
        </w:drawing>
      </w:r>
    </w:p>
    <w:p w:rsidR="001C1457" w:rsidRDefault="001C1457" w:rsidP="001C1457">
      <w:pPr>
        <w:jc w:val="both"/>
        <w:rPr>
          <w:rFonts w:ascii="Arial" w:hAnsi="Arial" w:cs="Arial"/>
        </w:rPr>
      </w:pPr>
      <w:r>
        <w:rPr>
          <w:noProof/>
        </w:rPr>
        <w:drawing>
          <wp:inline distT="0" distB="0" distL="0" distR="0" wp14:anchorId="1524D5FE" wp14:editId="6D0D3C7B">
            <wp:extent cx="3835400" cy="172782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9271" cy="1743088"/>
                    </a:xfrm>
                    <a:prstGeom prst="rect">
                      <a:avLst/>
                    </a:prstGeom>
                  </pic:spPr>
                </pic:pic>
              </a:graphicData>
            </a:graphic>
          </wp:inline>
        </w:drawing>
      </w:r>
    </w:p>
    <w:p w:rsidR="001C1457" w:rsidRDefault="001C1457" w:rsidP="001C1457">
      <w:pPr>
        <w:jc w:val="both"/>
        <w:rPr>
          <w:rFonts w:ascii="Arial" w:hAnsi="Arial" w:cs="Arial"/>
        </w:rPr>
      </w:pPr>
    </w:p>
    <w:p w:rsidR="0075636F" w:rsidRDefault="0075636F" w:rsidP="001C1457">
      <w:pPr>
        <w:jc w:val="both"/>
        <w:rPr>
          <w:rFonts w:ascii="Arial" w:hAnsi="Arial" w:cs="Arial"/>
        </w:rPr>
      </w:pPr>
    </w:p>
    <w:p w:rsidR="0075636F" w:rsidRDefault="0075636F" w:rsidP="001C1457">
      <w:pPr>
        <w:jc w:val="both"/>
        <w:rPr>
          <w:rFonts w:ascii="Arial" w:hAnsi="Arial" w:cs="Arial"/>
        </w:rPr>
      </w:pPr>
    </w:p>
    <w:p w:rsidR="0075636F" w:rsidRDefault="0075636F" w:rsidP="001C1457">
      <w:pPr>
        <w:jc w:val="both"/>
        <w:rPr>
          <w:rFonts w:ascii="Arial" w:hAnsi="Arial" w:cs="Arial"/>
        </w:rPr>
      </w:pPr>
    </w:p>
    <w:p w:rsidR="00F46B3F" w:rsidRDefault="00F46B3F" w:rsidP="001C1457">
      <w:pPr>
        <w:jc w:val="both"/>
        <w:rPr>
          <w:rFonts w:ascii="Arial" w:hAnsi="Arial" w:cs="Arial"/>
        </w:rPr>
      </w:pPr>
      <w:r>
        <w:rPr>
          <w:rFonts w:ascii="Arial" w:hAnsi="Arial" w:cs="Arial"/>
        </w:rPr>
        <w:lastRenderedPageBreak/>
        <w:t>Runyon 2007</w:t>
      </w:r>
    </w:p>
    <w:p w:rsidR="00533095" w:rsidRDefault="006A0356" w:rsidP="006A0356">
      <w:pPr>
        <w:jc w:val="both"/>
        <w:rPr>
          <w:rFonts w:ascii="Arial" w:hAnsi="Arial" w:cs="Arial"/>
        </w:rPr>
      </w:pPr>
      <w:r w:rsidRPr="006A0356">
        <w:rPr>
          <w:rFonts w:ascii="Arial" w:hAnsi="Arial" w:cs="Arial"/>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20320</wp:posOffset>
            </wp:positionV>
            <wp:extent cx="1942465" cy="2741295"/>
            <wp:effectExtent l="0" t="0" r="635" b="1905"/>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2465" cy="2741295"/>
                    </a:xfrm>
                    <a:prstGeom prst="rect">
                      <a:avLst/>
                    </a:prstGeom>
                  </pic:spPr>
                </pic:pic>
              </a:graphicData>
            </a:graphic>
            <wp14:sizeRelH relativeFrom="page">
              <wp14:pctWidth>0</wp14:pctWidth>
            </wp14:sizeRelH>
            <wp14:sizeRelV relativeFrom="page">
              <wp14:pctHeight>0</wp14:pctHeight>
            </wp14:sizeRelV>
          </wp:anchor>
        </w:drawing>
      </w:r>
      <w:r w:rsidR="00F46B3F">
        <w:rPr>
          <w:noProof/>
        </w:rPr>
        <w:drawing>
          <wp:inline distT="0" distB="0" distL="0" distR="0" wp14:anchorId="4E12213A" wp14:editId="6DC71941">
            <wp:extent cx="18002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225" cy="638175"/>
                    </a:xfrm>
                    <a:prstGeom prst="rect">
                      <a:avLst/>
                    </a:prstGeom>
                  </pic:spPr>
                </pic:pic>
              </a:graphicData>
            </a:graphic>
          </wp:inline>
        </w:drawing>
      </w:r>
      <w:r w:rsidR="00F46B3F">
        <w:rPr>
          <w:rFonts w:ascii="Arial" w:hAnsi="Arial" w:cs="Arial"/>
        </w:rPr>
        <w:t xml:space="preserve"> (PDZ, C-termini)</w:t>
      </w:r>
      <w:r>
        <w:rPr>
          <w:rFonts w:ascii="Arial" w:hAnsi="Arial" w:cs="Arial"/>
        </w:rPr>
        <w:t xml:space="preserve"> </w:t>
      </w:r>
    </w:p>
    <w:p w:rsidR="006A0356" w:rsidRDefault="006A0356" w:rsidP="006A0356">
      <w:pPr>
        <w:jc w:val="both"/>
        <w:rPr>
          <w:rFonts w:ascii="Arial" w:hAnsi="Arial" w:cs="Arial"/>
        </w:rPr>
      </w:pPr>
      <w:r>
        <w:rPr>
          <w:rFonts w:ascii="Arial" w:hAnsi="Arial" w:cs="Arial"/>
        </w:rPr>
        <w:t>--------------------------------------------------------------------------------</w:t>
      </w:r>
      <w:r w:rsidRPr="006A0356">
        <w:rPr>
          <w:rFonts w:ascii="Arial" w:hAnsi="Arial" w:cs="Arial"/>
        </w:rPr>
        <w:sym w:font="Wingdings" w:char="F0E0"/>
      </w:r>
    </w:p>
    <w:p w:rsidR="006A0356" w:rsidRDefault="006A0356" w:rsidP="006A0356">
      <w:pPr>
        <w:jc w:val="both"/>
        <w:rPr>
          <w:rFonts w:ascii="Arial" w:hAnsi="Arial" w:cs="Arial"/>
        </w:rPr>
      </w:pPr>
    </w:p>
    <w:p w:rsidR="006A0356" w:rsidRDefault="006A0356" w:rsidP="006A0356">
      <w:pPr>
        <w:jc w:val="both"/>
        <w:rPr>
          <w:rFonts w:ascii="Arial" w:hAnsi="Arial" w:cs="Arial"/>
        </w:rPr>
      </w:pPr>
    </w:p>
    <w:p w:rsidR="006A0356" w:rsidRDefault="006A0356" w:rsidP="006A0356">
      <w:pPr>
        <w:jc w:val="both"/>
        <w:rPr>
          <w:rFonts w:ascii="Arial" w:hAnsi="Arial" w:cs="Arial"/>
        </w:rPr>
      </w:pPr>
    </w:p>
    <w:p w:rsidR="006A0356" w:rsidRDefault="006A0356" w:rsidP="006A0356">
      <w:pPr>
        <w:jc w:val="both"/>
        <w:rPr>
          <w:rFonts w:ascii="Arial" w:hAnsi="Arial" w:cs="Arial"/>
        </w:rPr>
      </w:pPr>
    </w:p>
    <w:p w:rsidR="00F46B3F" w:rsidRDefault="00F46B3F" w:rsidP="006A0356">
      <w:pPr>
        <w:jc w:val="both"/>
        <w:rPr>
          <w:rFonts w:ascii="Arial" w:hAnsi="Arial" w:cs="Arial"/>
        </w:rPr>
      </w:pPr>
      <w:r>
        <w:rPr>
          <w:rFonts w:ascii="Arial" w:hAnsi="Arial" w:cs="Arial"/>
        </w:rPr>
        <w:t xml:space="preserve">Internal ligands: </w:t>
      </w:r>
      <w:r w:rsidRPr="00F46B3F">
        <w:rPr>
          <w:rFonts w:ascii="Arial" w:hAnsi="Arial" w:cs="Arial"/>
        </w:rPr>
        <w:t>[G/S/A] [V/L</w:t>
      </w:r>
      <w:proofErr w:type="gramStart"/>
      <w:r w:rsidRPr="00F46B3F">
        <w:rPr>
          <w:rFonts w:ascii="Arial" w:hAnsi="Arial" w:cs="Arial"/>
        </w:rPr>
        <w:t>][</w:t>
      </w:r>
      <w:proofErr w:type="gramEnd"/>
      <w:r w:rsidRPr="00F46B3F">
        <w:rPr>
          <w:rFonts w:ascii="Arial" w:hAnsi="Arial" w:cs="Arial"/>
        </w:rPr>
        <w:t>T/S]WG[E/D]</w:t>
      </w:r>
      <w:r w:rsidR="006A0356">
        <w:rPr>
          <w:rFonts w:ascii="Calibri" w:hAnsi="Calibri" w:cs="Calibri"/>
        </w:rPr>
        <w:t>φ</w:t>
      </w:r>
      <w:r w:rsidRPr="00F46B3F">
        <w:rPr>
          <w:rFonts w:ascii="Arial" w:hAnsi="Arial" w:cs="Arial"/>
        </w:rPr>
        <w:t>[L/V]</w:t>
      </w:r>
      <w:proofErr w:type="spellStart"/>
      <w:r w:rsidRPr="00F46B3F">
        <w:rPr>
          <w:rFonts w:ascii="Arial" w:hAnsi="Arial" w:cs="Arial"/>
        </w:rPr>
        <w:t>X</w:t>
      </w:r>
      <w:r w:rsidR="006A0356">
        <w:rPr>
          <w:rFonts w:ascii="Calibri" w:hAnsi="Calibri" w:cs="Calibri"/>
        </w:rPr>
        <w:t>φ</w:t>
      </w:r>
      <w:proofErr w:type="spellEnd"/>
      <w:r w:rsidRPr="00F46B3F">
        <w:rPr>
          <w:rFonts w:ascii="Arial" w:hAnsi="Arial" w:cs="Arial"/>
        </w:rPr>
        <w:t>[L/V/I], where ‘‘</w:t>
      </w:r>
      <w:r w:rsidR="006A0356">
        <w:rPr>
          <w:rFonts w:ascii="Calibri" w:hAnsi="Calibri" w:cs="Calibri"/>
        </w:rPr>
        <w:t>φ</w:t>
      </w:r>
      <w:r w:rsidRPr="00F46B3F">
        <w:rPr>
          <w:rFonts w:ascii="Arial" w:hAnsi="Arial" w:cs="Arial"/>
        </w:rPr>
        <w:t xml:space="preserve">’’ is a </w:t>
      </w:r>
      <w:proofErr w:type="spellStart"/>
      <w:r w:rsidRPr="00F46B3F">
        <w:rPr>
          <w:rFonts w:ascii="Arial" w:hAnsi="Arial" w:cs="Arial"/>
        </w:rPr>
        <w:t>hydrophobe</w:t>
      </w:r>
      <w:proofErr w:type="spellEnd"/>
    </w:p>
    <w:p w:rsidR="006A0356" w:rsidRDefault="006A0356" w:rsidP="006A0356">
      <w:pPr>
        <w:jc w:val="both"/>
        <w:rPr>
          <w:rFonts w:ascii="Arial" w:hAnsi="Arial" w:cs="Arial"/>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221615</wp:posOffset>
            </wp:positionV>
            <wp:extent cx="2457450" cy="2200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7450" cy="2200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Internal acid serves as C-term?</w:t>
      </w:r>
    </w:p>
    <w:p w:rsidR="006A0356" w:rsidRDefault="006A0356" w:rsidP="006A0356">
      <w:pPr>
        <w:jc w:val="both"/>
        <w:rPr>
          <w:rFonts w:ascii="Arial" w:hAnsi="Arial" w:cs="Arial"/>
        </w:rPr>
      </w:pPr>
      <w:r>
        <w:rPr>
          <w:rFonts w:ascii="Arial" w:hAnsi="Arial" w:cs="Arial"/>
        </w:rPr>
        <w:t xml:space="preserve">Internal sequences from phage </w:t>
      </w:r>
      <w:proofErr w:type="gramStart"/>
      <w:r>
        <w:rPr>
          <w:rFonts w:ascii="Arial" w:hAnsi="Arial" w:cs="Arial"/>
        </w:rPr>
        <w:t>display  -----------------</w:t>
      </w:r>
      <w:proofErr w:type="gramEnd"/>
      <w:r w:rsidRPr="006A0356">
        <w:rPr>
          <w:rFonts w:ascii="Arial" w:hAnsi="Arial" w:cs="Arial"/>
        </w:rPr>
        <w:sym w:font="Wingdings" w:char="F0E0"/>
      </w:r>
    </w:p>
    <w:p w:rsidR="006A0356" w:rsidRDefault="006A0356" w:rsidP="006A0356">
      <w:pPr>
        <w:jc w:val="both"/>
        <w:rPr>
          <w:rFonts w:ascii="Arial" w:hAnsi="Arial" w:cs="Arial"/>
        </w:rPr>
      </w:pPr>
    </w:p>
    <w:p w:rsidR="006A0356" w:rsidRDefault="006A0356" w:rsidP="006A0356">
      <w:pPr>
        <w:jc w:val="both"/>
        <w:rPr>
          <w:rFonts w:ascii="Arial" w:hAnsi="Arial" w:cs="Arial"/>
        </w:rPr>
      </w:pPr>
    </w:p>
    <w:p w:rsidR="00E521AD" w:rsidRDefault="00E521AD" w:rsidP="006A0356">
      <w:pPr>
        <w:jc w:val="both"/>
        <w:rPr>
          <w:rFonts w:ascii="Arial" w:hAnsi="Arial" w:cs="Arial"/>
        </w:rPr>
      </w:pPr>
    </w:p>
    <w:p w:rsidR="00E521AD" w:rsidRDefault="00E521AD" w:rsidP="006A0356">
      <w:pPr>
        <w:jc w:val="both"/>
        <w:rPr>
          <w:rFonts w:ascii="Arial" w:hAnsi="Arial" w:cs="Arial"/>
        </w:rPr>
      </w:pPr>
    </w:p>
    <w:p w:rsidR="00E521AD" w:rsidRDefault="00E521AD" w:rsidP="006A0356">
      <w:pPr>
        <w:jc w:val="both"/>
        <w:rPr>
          <w:rFonts w:ascii="Arial" w:hAnsi="Arial" w:cs="Arial"/>
        </w:rPr>
      </w:pPr>
    </w:p>
    <w:p w:rsidR="00E521AD" w:rsidRDefault="00E521AD" w:rsidP="006A0356">
      <w:pPr>
        <w:jc w:val="both"/>
        <w:rPr>
          <w:rFonts w:ascii="Arial" w:hAnsi="Arial" w:cs="Arial"/>
        </w:rPr>
      </w:pPr>
    </w:p>
    <w:p w:rsidR="00E521AD" w:rsidRDefault="00E521AD" w:rsidP="006A0356">
      <w:pPr>
        <w:jc w:val="both"/>
        <w:rPr>
          <w:rFonts w:ascii="Arial" w:hAnsi="Arial" w:cs="Arial"/>
        </w:rPr>
      </w:pPr>
    </w:p>
    <w:p w:rsidR="00E521AD" w:rsidRDefault="00E521AD" w:rsidP="006A0356">
      <w:pPr>
        <w:jc w:val="both"/>
        <w:rPr>
          <w:rFonts w:ascii="Arial" w:hAnsi="Arial" w:cs="Arial"/>
        </w:rPr>
      </w:pPr>
      <w:r>
        <w:rPr>
          <w:noProof/>
        </w:rPr>
        <w:drawing>
          <wp:inline distT="0" distB="0" distL="0" distR="0" wp14:anchorId="61AD7979" wp14:editId="5BF35BD8">
            <wp:extent cx="4962525" cy="2469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4405" cy="2480486"/>
                    </a:xfrm>
                    <a:prstGeom prst="rect">
                      <a:avLst/>
                    </a:prstGeom>
                  </pic:spPr>
                </pic:pic>
              </a:graphicData>
            </a:graphic>
          </wp:inline>
        </w:drawing>
      </w:r>
    </w:p>
    <w:p w:rsidR="00216D72" w:rsidRDefault="00216D72" w:rsidP="006A0356">
      <w:pPr>
        <w:jc w:val="both"/>
        <w:rPr>
          <w:rFonts w:ascii="Arial" w:hAnsi="Arial" w:cs="Arial"/>
        </w:rPr>
      </w:pPr>
      <w:r>
        <w:rPr>
          <w:noProof/>
        </w:rPr>
        <w:lastRenderedPageBreak/>
        <w:drawing>
          <wp:inline distT="0" distB="0" distL="0" distR="0" wp14:anchorId="28429DBE" wp14:editId="12A2154B">
            <wp:extent cx="5553075" cy="696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6962775"/>
                    </a:xfrm>
                    <a:prstGeom prst="rect">
                      <a:avLst/>
                    </a:prstGeom>
                  </pic:spPr>
                </pic:pic>
              </a:graphicData>
            </a:graphic>
          </wp:inline>
        </w:drawing>
      </w:r>
    </w:p>
    <w:p w:rsidR="0075636F" w:rsidRDefault="0075636F" w:rsidP="006A0356">
      <w:pPr>
        <w:jc w:val="both"/>
      </w:pPr>
    </w:p>
    <w:p w:rsidR="0075636F" w:rsidRDefault="0075636F" w:rsidP="006A0356">
      <w:pPr>
        <w:jc w:val="both"/>
      </w:pPr>
    </w:p>
    <w:p w:rsidR="0075636F" w:rsidRDefault="0075636F" w:rsidP="006A0356">
      <w:pPr>
        <w:jc w:val="both"/>
      </w:pPr>
    </w:p>
    <w:p w:rsidR="0075636F" w:rsidRDefault="0075636F" w:rsidP="006A0356">
      <w:pPr>
        <w:jc w:val="both"/>
      </w:pPr>
    </w:p>
    <w:p w:rsidR="0075636F" w:rsidRDefault="0075636F" w:rsidP="006A0356">
      <w:pPr>
        <w:jc w:val="both"/>
      </w:pPr>
      <w:proofErr w:type="spellStart"/>
      <w:r>
        <w:lastRenderedPageBreak/>
        <w:t>Truebestein</w:t>
      </w:r>
      <w:proofErr w:type="spellEnd"/>
      <w:r>
        <w:t xml:space="preserve"> 2011</w:t>
      </w:r>
    </w:p>
    <w:p w:rsidR="0075636F" w:rsidRDefault="0075636F" w:rsidP="006A0356">
      <w:pPr>
        <w:jc w:val="both"/>
        <w:rPr>
          <w:rFonts w:ascii="Arial" w:hAnsi="Arial" w:cs="Arial"/>
        </w:rPr>
      </w:pPr>
      <w:r>
        <w:rPr>
          <w:noProof/>
        </w:rPr>
        <w:drawing>
          <wp:inline distT="0" distB="0" distL="0" distR="0">
            <wp:extent cx="1845154" cy="2281382"/>
            <wp:effectExtent l="0" t="0" r="0" b="5080"/>
            <wp:docPr id="8" name="Picture 8" descr="C:\Users\Joey\AppData\Local\Microsoft\Windows\INetCache\Content.Word\htra1_n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y\AppData\Local\Microsoft\Windows\INetCache\Content.Word\htra1_nter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859" r="27994" b="7181"/>
                    <a:stretch/>
                  </pic:blipFill>
                  <pic:spPr bwMode="auto">
                    <a:xfrm>
                      <a:off x="0" y="0"/>
                      <a:ext cx="1878448" cy="2322547"/>
                    </a:xfrm>
                    <a:prstGeom prst="rect">
                      <a:avLst/>
                    </a:prstGeom>
                    <a:noFill/>
                    <a:ln>
                      <a:noFill/>
                    </a:ln>
                    <a:extLst>
                      <a:ext uri="{53640926-AAD7-44D8-BBD7-CCE9431645EC}">
                        <a14:shadowObscured xmlns:a14="http://schemas.microsoft.com/office/drawing/2010/main"/>
                      </a:ext>
                    </a:extLst>
                  </pic:spPr>
                </pic:pic>
              </a:graphicData>
            </a:graphic>
          </wp:inline>
        </w:drawing>
      </w:r>
      <w:proofErr w:type="spellStart"/>
      <w:r>
        <w:rPr>
          <w:rFonts w:ascii="Arial" w:hAnsi="Arial" w:cs="Arial"/>
        </w:rPr>
        <w:t>Nterm</w:t>
      </w:r>
      <w:proofErr w:type="spellEnd"/>
    </w:p>
    <w:p w:rsidR="0075636F" w:rsidRDefault="0075636F" w:rsidP="006A0356">
      <w:pPr>
        <w:jc w:val="both"/>
        <w:rPr>
          <w:rFonts w:ascii="Arial" w:hAnsi="Arial" w:cs="Arial"/>
        </w:rPr>
      </w:pPr>
      <w:r>
        <w:rPr>
          <w:noProof/>
        </w:rPr>
        <w:drawing>
          <wp:inline distT="0" distB="0" distL="0" distR="0">
            <wp:extent cx="3094182" cy="2312467"/>
            <wp:effectExtent l="0" t="0" r="0" b="0"/>
            <wp:docPr id="9" name="Picture 9" descr="C:\Users\Joey\AppData\Local\Microsoft\Windows\INetCache\Content.Word\htra1_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y\AppData\Local\Microsoft\Windows\INetCache\Content.Word\htra1_ca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52" t="9697" r="17421" b="14122"/>
                    <a:stretch/>
                  </pic:blipFill>
                  <pic:spPr bwMode="auto">
                    <a:xfrm>
                      <a:off x="0" y="0"/>
                      <a:ext cx="3102233" cy="23184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Cat</w:t>
      </w:r>
    </w:p>
    <w:p w:rsidR="0075636F" w:rsidRDefault="0075636F" w:rsidP="006A0356">
      <w:pPr>
        <w:jc w:val="both"/>
        <w:rPr>
          <w:rFonts w:ascii="Arial" w:hAnsi="Arial" w:cs="Arial"/>
        </w:rPr>
      </w:pPr>
      <w:r>
        <w:rPr>
          <w:noProof/>
        </w:rPr>
        <w:drawing>
          <wp:inline distT="0" distB="0" distL="0" distR="0">
            <wp:extent cx="2060090" cy="2262909"/>
            <wp:effectExtent l="0" t="0" r="0" b="0"/>
            <wp:docPr id="10" name="Picture 10" descr="C:\Users\Joey\AppData\Local\Microsoft\Windows\INetCache\Content.Word\htra1_p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y\AppData\Local\Microsoft\Windows\INetCache\Content.Word\htra1_pdz.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796" t="14447" r="32817" b="15520"/>
                    <a:stretch/>
                  </pic:blipFill>
                  <pic:spPr bwMode="auto">
                    <a:xfrm>
                      <a:off x="0" y="0"/>
                      <a:ext cx="2071966" cy="227595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PDZ</w:t>
      </w:r>
    </w:p>
    <w:p w:rsidR="0075636F" w:rsidRDefault="0075636F" w:rsidP="006A0356">
      <w:pPr>
        <w:jc w:val="both"/>
        <w:rPr>
          <w:rFonts w:ascii="Arial" w:hAnsi="Arial" w:cs="Arial"/>
        </w:rPr>
      </w:pPr>
    </w:p>
    <w:p w:rsidR="0075636F" w:rsidRDefault="0075636F" w:rsidP="006A0356">
      <w:pPr>
        <w:jc w:val="both"/>
        <w:rPr>
          <w:rFonts w:ascii="Arial" w:hAnsi="Arial" w:cs="Arial"/>
        </w:rPr>
      </w:pPr>
      <w:r>
        <w:rPr>
          <w:noProof/>
        </w:rPr>
        <w:lastRenderedPageBreak/>
        <w:drawing>
          <wp:inline distT="0" distB="0" distL="0" distR="0" wp14:anchorId="5B862B86" wp14:editId="2D74D8B6">
            <wp:extent cx="5943600" cy="463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38675"/>
                    </a:xfrm>
                    <a:prstGeom prst="rect">
                      <a:avLst/>
                    </a:prstGeom>
                  </pic:spPr>
                </pic:pic>
              </a:graphicData>
            </a:graphic>
          </wp:inline>
        </w:drawing>
      </w:r>
    </w:p>
    <w:p w:rsidR="0089587E" w:rsidRDefault="0089587E" w:rsidP="006A0356">
      <w:pPr>
        <w:jc w:val="both"/>
        <w:rPr>
          <w:rFonts w:ascii="Arial" w:hAnsi="Arial" w:cs="Arial"/>
        </w:rPr>
      </w:pPr>
    </w:p>
    <w:p w:rsidR="0075636F" w:rsidRDefault="0089587E" w:rsidP="006A0356">
      <w:pPr>
        <w:jc w:val="both"/>
        <w:rPr>
          <w:rFonts w:ascii="Arial" w:hAnsi="Arial" w:cs="Arial"/>
        </w:rPr>
      </w:pPr>
      <w:proofErr w:type="spellStart"/>
      <w:r>
        <w:rPr>
          <w:rFonts w:ascii="Arial" w:hAnsi="Arial" w:cs="Arial"/>
        </w:rPr>
        <w:t>Eigenbrot</w:t>
      </w:r>
      <w:proofErr w:type="spellEnd"/>
      <w:r>
        <w:rPr>
          <w:rFonts w:ascii="Arial" w:hAnsi="Arial" w:cs="Arial"/>
        </w:rPr>
        <w:t xml:space="preserve"> 2012</w:t>
      </w:r>
    </w:p>
    <w:p w:rsidR="0089587E" w:rsidRDefault="0089587E" w:rsidP="006A0356">
      <w:pPr>
        <w:jc w:val="both"/>
        <w:rPr>
          <w:rFonts w:ascii="Arial" w:hAnsi="Arial" w:cs="Arial"/>
        </w:rPr>
      </w:pPr>
      <w:r>
        <w:rPr>
          <w:noProof/>
        </w:rPr>
        <w:drawing>
          <wp:inline distT="0" distB="0" distL="0" distR="0" wp14:anchorId="6FF217E4" wp14:editId="41885E4D">
            <wp:extent cx="5943600" cy="1921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21510"/>
                    </a:xfrm>
                    <a:prstGeom prst="rect">
                      <a:avLst/>
                    </a:prstGeom>
                  </pic:spPr>
                </pic:pic>
              </a:graphicData>
            </a:graphic>
          </wp:inline>
        </w:drawing>
      </w:r>
    </w:p>
    <w:p w:rsidR="0089587E" w:rsidRDefault="0089587E" w:rsidP="006A0356">
      <w:pPr>
        <w:jc w:val="both"/>
        <w:rPr>
          <w:rFonts w:ascii="Arial" w:hAnsi="Arial" w:cs="Arial"/>
        </w:rPr>
      </w:pPr>
      <w:r>
        <w:rPr>
          <w:noProof/>
        </w:rPr>
        <w:lastRenderedPageBreak/>
        <w:drawing>
          <wp:inline distT="0" distB="0" distL="0" distR="0" wp14:anchorId="4CE26084" wp14:editId="57FA8102">
            <wp:extent cx="5943600" cy="1687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7830"/>
                    </a:xfrm>
                    <a:prstGeom prst="rect">
                      <a:avLst/>
                    </a:prstGeom>
                  </pic:spPr>
                </pic:pic>
              </a:graphicData>
            </a:graphic>
          </wp:inline>
        </w:drawing>
      </w:r>
    </w:p>
    <w:p w:rsidR="0089587E" w:rsidRDefault="0089587E" w:rsidP="006A0356">
      <w:pPr>
        <w:jc w:val="both"/>
        <w:rPr>
          <w:rFonts w:ascii="Arial" w:hAnsi="Arial" w:cs="Arial"/>
        </w:rPr>
      </w:pPr>
      <w:r w:rsidRPr="0089587E">
        <w:rPr>
          <w:rFonts w:ascii="Arial" w:hAnsi="Arial" w:cs="Arial"/>
          <w:noProof/>
        </w:rPr>
        <w:drawing>
          <wp:inline distT="0" distB="0" distL="0" distR="0" wp14:anchorId="12EBF772" wp14:editId="3A1FB5B3">
            <wp:extent cx="4045527" cy="1923354"/>
            <wp:effectExtent l="0" t="0" r="0" b="127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srcRect l="3255" t="5555" r="2367" b="4167"/>
                    <a:stretch/>
                  </pic:blipFill>
                  <pic:spPr>
                    <a:xfrm>
                      <a:off x="0" y="0"/>
                      <a:ext cx="4096650" cy="1947659"/>
                    </a:xfrm>
                    <a:prstGeom prst="rect">
                      <a:avLst/>
                    </a:prstGeom>
                  </pic:spPr>
                </pic:pic>
              </a:graphicData>
            </a:graphic>
          </wp:inline>
        </w:drawing>
      </w:r>
    </w:p>
    <w:p w:rsidR="003A008D" w:rsidRDefault="003A008D" w:rsidP="006A0356">
      <w:pPr>
        <w:jc w:val="both"/>
        <w:rPr>
          <w:rFonts w:ascii="Arial" w:hAnsi="Arial" w:cs="Arial"/>
        </w:rPr>
      </w:pPr>
      <w:r>
        <w:rPr>
          <w:noProof/>
        </w:rPr>
        <w:drawing>
          <wp:inline distT="0" distB="0" distL="0" distR="0" wp14:anchorId="6F230F40" wp14:editId="40EA62C8">
            <wp:extent cx="5273964" cy="419043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206" cy="4216847"/>
                    </a:xfrm>
                    <a:prstGeom prst="rect">
                      <a:avLst/>
                    </a:prstGeom>
                  </pic:spPr>
                </pic:pic>
              </a:graphicData>
            </a:graphic>
          </wp:inline>
        </w:drawing>
      </w:r>
    </w:p>
    <w:p w:rsidR="003A008D" w:rsidRDefault="003A008D" w:rsidP="006A0356">
      <w:pPr>
        <w:jc w:val="both"/>
        <w:rPr>
          <w:rFonts w:ascii="Arial" w:hAnsi="Arial" w:cs="Arial"/>
        </w:rPr>
      </w:pPr>
      <w:r>
        <w:rPr>
          <w:noProof/>
        </w:rPr>
        <w:lastRenderedPageBreak/>
        <w:drawing>
          <wp:inline distT="0" distB="0" distL="0" distR="0" wp14:anchorId="56A66AB5" wp14:editId="035D105A">
            <wp:extent cx="4599709" cy="32881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6073" cy="3292653"/>
                    </a:xfrm>
                    <a:prstGeom prst="rect">
                      <a:avLst/>
                    </a:prstGeom>
                  </pic:spPr>
                </pic:pic>
              </a:graphicData>
            </a:graphic>
          </wp:inline>
        </w:drawing>
      </w:r>
    </w:p>
    <w:p w:rsidR="003A008D" w:rsidRDefault="003A008D" w:rsidP="006A0356">
      <w:pPr>
        <w:jc w:val="both"/>
        <w:rPr>
          <w:rFonts w:ascii="Arial" w:hAnsi="Arial" w:cs="Arial"/>
        </w:rPr>
      </w:pPr>
    </w:p>
    <w:p w:rsidR="003A008D" w:rsidRDefault="003A008D" w:rsidP="006A0356">
      <w:pPr>
        <w:jc w:val="both"/>
      </w:pPr>
      <w:proofErr w:type="spellStart"/>
      <w:r>
        <w:t>Tennstaedt</w:t>
      </w:r>
      <w:proofErr w:type="spellEnd"/>
      <w:r>
        <w:t xml:space="preserve"> 2012</w:t>
      </w:r>
    </w:p>
    <w:p w:rsidR="003A008D" w:rsidRDefault="000D3E52" w:rsidP="006A0356">
      <w:pPr>
        <w:jc w:val="both"/>
        <w:rPr>
          <w:rFonts w:ascii="Arial" w:hAnsi="Arial" w:cs="Arial"/>
        </w:rPr>
      </w:pPr>
      <w:r>
        <w:rPr>
          <w:noProof/>
        </w:rPr>
        <mc:AlternateContent>
          <mc:Choice Requires="wps">
            <w:drawing>
              <wp:anchor distT="0" distB="0" distL="114300" distR="114300" simplePos="0" relativeHeight="251662336" behindDoc="0" locked="0" layoutInCell="1" allowOverlap="1" wp14:anchorId="458F7DEB" wp14:editId="2CDE84ED">
                <wp:simplePos x="0" y="0"/>
                <wp:positionH relativeFrom="column">
                  <wp:posOffset>13648</wp:posOffset>
                </wp:positionH>
                <wp:positionV relativeFrom="paragraph">
                  <wp:posOffset>600710</wp:posOffset>
                </wp:positionV>
                <wp:extent cx="3548418" cy="170597"/>
                <wp:effectExtent l="0" t="0" r="0" b="1270"/>
                <wp:wrapNone/>
                <wp:docPr id="27" name="Rectangle 27"/>
                <wp:cNvGraphicFramePr/>
                <a:graphic xmlns:a="http://schemas.openxmlformats.org/drawingml/2006/main">
                  <a:graphicData uri="http://schemas.microsoft.com/office/word/2010/wordprocessingShape">
                    <wps:wsp>
                      <wps:cNvSpPr/>
                      <wps:spPr>
                        <a:xfrm>
                          <a:off x="0" y="0"/>
                          <a:ext cx="3548418" cy="170597"/>
                        </a:xfrm>
                        <a:prstGeom prst="rect">
                          <a:avLst/>
                        </a:prstGeom>
                        <a:solidFill>
                          <a:srgbClr val="FFFF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3CD6" id="Rectangle 27" o:spid="_x0000_s1026" style="position:absolute;margin-left:1.05pt;margin-top:47.3pt;width:279.4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" fillcolor="yellow" stroked="f" strokeweight="1pt">
                <v:fill opacity="16448f"/>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3009331</wp:posOffset>
                </wp:positionH>
                <wp:positionV relativeFrom="paragraph">
                  <wp:posOffset>184452</wp:posOffset>
                </wp:positionV>
                <wp:extent cx="2852382" cy="170597"/>
                <wp:effectExtent l="0" t="0" r="5715" b="1270"/>
                <wp:wrapNone/>
                <wp:docPr id="26" name="Rectangle 26"/>
                <wp:cNvGraphicFramePr/>
                <a:graphic xmlns:a="http://schemas.openxmlformats.org/drawingml/2006/main">
                  <a:graphicData uri="http://schemas.microsoft.com/office/word/2010/wordprocessingShape">
                    <wps:wsp>
                      <wps:cNvSpPr/>
                      <wps:spPr>
                        <a:xfrm>
                          <a:off x="0" y="0"/>
                          <a:ext cx="2852382" cy="170597"/>
                        </a:xfrm>
                        <a:prstGeom prst="rect">
                          <a:avLst/>
                        </a:prstGeom>
                        <a:solidFill>
                          <a:srgbClr val="FFFF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5FF8B" id="Rectangle 26" o:spid="_x0000_s1026" style="position:absolute;margin-left:236.95pt;margin-top:14.5pt;width:224.6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" fillcolor="yellow" stroked="f" strokeweight="1pt">
                <v:fill opacity="16448f"/>
              </v:rect>
            </w:pict>
          </mc:Fallback>
        </mc:AlternateContent>
      </w:r>
      <w:r w:rsidR="003A008D" w:rsidRPr="003A008D">
        <w:rPr>
          <w:rFonts w:ascii="Arial" w:hAnsi="Arial" w:cs="Arial"/>
          <w:noProof/>
        </w:rPr>
        <w:drawing>
          <wp:inline distT="0" distB="0" distL="0" distR="0" wp14:anchorId="7EEDCC35" wp14:editId="7A2D0F1C">
            <wp:extent cx="5943600" cy="83883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2"/>
                    <a:stretch>
                      <a:fillRect/>
                    </a:stretch>
                  </pic:blipFill>
                  <pic:spPr>
                    <a:xfrm>
                      <a:off x="0" y="0"/>
                      <a:ext cx="5943600" cy="838835"/>
                    </a:xfrm>
                    <a:prstGeom prst="rect">
                      <a:avLst/>
                    </a:prstGeom>
                  </pic:spPr>
                </pic:pic>
              </a:graphicData>
            </a:graphic>
          </wp:inline>
        </w:drawing>
      </w:r>
    </w:p>
    <w:p w:rsidR="003A008D" w:rsidRDefault="00A8345D" w:rsidP="00A8345D">
      <w:pPr>
        <w:rPr>
          <w:rFonts w:ascii="Arial" w:hAnsi="Arial" w:cs="Arial"/>
        </w:rPr>
      </w:pPr>
      <w:r w:rsidRPr="00A8345D">
        <w:rPr>
          <w:rFonts w:ascii="Arial" w:hAnsi="Arial" w:cs="Arial"/>
        </w:rPr>
        <w:t>A, HTRA1 cleaves tau at multiple sites in its core domain which is relevant for aggregation. WT-, PHP-</w:t>
      </w:r>
      <w:proofErr w:type="gramStart"/>
      <w:r w:rsidRPr="00A8345D">
        <w:rPr>
          <w:rFonts w:ascii="Arial" w:hAnsi="Arial" w:cs="Arial"/>
        </w:rPr>
        <w:t>,and</w:t>
      </w:r>
      <w:proofErr w:type="gramEnd"/>
      <w:r>
        <w:rPr>
          <w:rFonts w:ascii="Arial" w:hAnsi="Arial" w:cs="Arial"/>
        </w:rPr>
        <w:t xml:space="preserve"> </w:t>
      </w:r>
      <w:proofErr w:type="spellStart"/>
      <w:r w:rsidRPr="00A8345D">
        <w:rPr>
          <w:rFonts w:ascii="Arial" w:hAnsi="Arial" w:cs="Arial"/>
        </w:rPr>
        <w:t>Ala-tau</w:t>
      </w:r>
      <w:proofErr w:type="spellEnd"/>
      <w:r>
        <w:rPr>
          <w:rFonts w:ascii="Arial" w:hAnsi="Arial" w:cs="Arial"/>
        </w:rPr>
        <w:t xml:space="preserve"> </w:t>
      </w:r>
      <w:r w:rsidRPr="00A8345D">
        <w:rPr>
          <w:rFonts w:ascii="Arial" w:hAnsi="Arial" w:cs="Arial"/>
        </w:rPr>
        <w:t>were</w:t>
      </w:r>
      <w:r>
        <w:rPr>
          <w:rFonts w:ascii="Arial" w:hAnsi="Arial" w:cs="Arial"/>
        </w:rPr>
        <w:t xml:space="preserve"> </w:t>
      </w:r>
      <w:r w:rsidRPr="00A8345D">
        <w:rPr>
          <w:rFonts w:ascii="Arial" w:hAnsi="Arial" w:cs="Arial"/>
        </w:rPr>
        <w:t>completely digested</w:t>
      </w:r>
      <w:r w:rsidR="00031EA4">
        <w:rPr>
          <w:rFonts w:ascii="Arial" w:hAnsi="Arial" w:cs="Arial"/>
        </w:rPr>
        <w:t xml:space="preserve"> </w:t>
      </w:r>
      <w:r w:rsidRPr="00A8345D">
        <w:rPr>
          <w:rFonts w:ascii="Arial" w:hAnsi="Arial" w:cs="Arial"/>
        </w:rPr>
        <w:t>by</w:t>
      </w:r>
      <w:r w:rsidR="00031EA4">
        <w:rPr>
          <w:rFonts w:ascii="Arial" w:hAnsi="Arial" w:cs="Arial"/>
        </w:rPr>
        <w:t xml:space="preserve"> </w:t>
      </w:r>
      <w:r w:rsidRPr="00A8345D">
        <w:rPr>
          <w:rFonts w:ascii="Arial" w:hAnsi="Arial" w:cs="Arial"/>
        </w:rPr>
        <w:t>HTRA1. Proteolytic products</w:t>
      </w:r>
      <w:r>
        <w:rPr>
          <w:rFonts w:ascii="Arial" w:hAnsi="Arial" w:cs="Arial"/>
        </w:rPr>
        <w:t xml:space="preserve"> </w:t>
      </w:r>
      <w:r w:rsidRPr="00A8345D">
        <w:rPr>
          <w:rFonts w:ascii="Arial" w:hAnsi="Arial" w:cs="Arial"/>
        </w:rPr>
        <w:t>were</w:t>
      </w:r>
      <w:r>
        <w:rPr>
          <w:rFonts w:ascii="Arial" w:hAnsi="Arial" w:cs="Arial"/>
        </w:rPr>
        <w:t xml:space="preserve"> </w:t>
      </w:r>
      <w:r w:rsidRPr="00A8345D">
        <w:rPr>
          <w:rFonts w:ascii="Arial" w:hAnsi="Arial" w:cs="Arial"/>
        </w:rPr>
        <w:t>identified</w:t>
      </w:r>
      <w:r>
        <w:rPr>
          <w:rFonts w:ascii="Arial" w:hAnsi="Arial" w:cs="Arial"/>
        </w:rPr>
        <w:t xml:space="preserve"> </w:t>
      </w:r>
      <w:r w:rsidRPr="00A8345D">
        <w:rPr>
          <w:rFonts w:ascii="Arial" w:hAnsi="Arial" w:cs="Arial"/>
        </w:rPr>
        <w:t>by</w:t>
      </w:r>
      <w:r>
        <w:rPr>
          <w:rFonts w:ascii="Arial" w:hAnsi="Arial" w:cs="Arial"/>
        </w:rPr>
        <w:t xml:space="preserve"> </w:t>
      </w:r>
      <w:r w:rsidRPr="00A8345D">
        <w:rPr>
          <w:rFonts w:ascii="Arial" w:hAnsi="Arial" w:cs="Arial"/>
        </w:rPr>
        <w:t>mass</w:t>
      </w:r>
      <w:r>
        <w:rPr>
          <w:rFonts w:ascii="Arial" w:hAnsi="Arial" w:cs="Arial"/>
        </w:rPr>
        <w:t xml:space="preserve"> </w:t>
      </w:r>
      <w:r w:rsidRPr="00A8345D">
        <w:rPr>
          <w:rFonts w:ascii="Arial" w:hAnsi="Arial" w:cs="Arial"/>
        </w:rPr>
        <w:t>spectrometry. Forward slashes indicate cleavage sites that were identical in the three tau variants analyzed. For simplicity, we show cleavage sites detected in tau Ala239–Val399, the region that is implicated in aggregation. The sequence of the synthetic substrate PGGGNKKIETHKL-</w:t>
      </w:r>
      <w:proofErr w:type="spellStart"/>
      <w:r w:rsidRPr="00A8345D">
        <w:rPr>
          <w:rFonts w:ascii="Arial" w:hAnsi="Arial" w:cs="Arial"/>
        </w:rPr>
        <w:t>pNA</w:t>
      </w:r>
      <w:proofErr w:type="spellEnd"/>
      <w:r w:rsidRPr="00A8345D">
        <w:rPr>
          <w:rFonts w:ascii="Arial" w:hAnsi="Arial" w:cs="Arial"/>
        </w:rPr>
        <w:t xml:space="preserve"> is underlined</w:t>
      </w:r>
      <w:r w:rsidR="003A008D">
        <w:rPr>
          <w:noProof/>
        </w:rPr>
        <w:drawing>
          <wp:inline distT="0" distB="0" distL="0" distR="0" wp14:anchorId="1553DF5A" wp14:editId="3AAAC338">
            <wp:extent cx="473392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1743075"/>
                    </a:xfrm>
                    <a:prstGeom prst="rect">
                      <a:avLst/>
                    </a:prstGeom>
                  </pic:spPr>
                </pic:pic>
              </a:graphicData>
            </a:graphic>
          </wp:inline>
        </w:drawing>
      </w:r>
    </w:p>
    <w:p w:rsidR="003A008D" w:rsidRDefault="003A008D" w:rsidP="006A0356">
      <w:pPr>
        <w:jc w:val="both"/>
        <w:rPr>
          <w:rFonts w:ascii="Arial" w:hAnsi="Arial" w:cs="Arial"/>
        </w:rPr>
      </w:pPr>
      <w:r>
        <w:rPr>
          <w:noProof/>
        </w:rPr>
        <w:lastRenderedPageBreak/>
        <w:drawing>
          <wp:inline distT="0" distB="0" distL="0" distR="0" wp14:anchorId="1AF8093E" wp14:editId="322BDEF4">
            <wp:extent cx="5943600" cy="2264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4410"/>
                    </a:xfrm>
                    <a:prstGeom prst="rect">
                      <a:avLst/>
                    </a:prstGeom>
                  </pic:spPr>
                </pic:pic>
              </a:graphicData>
            </a:graphic>
          </wp:inline>
        </w:drawing>
      </w:r>
    </w:p>
    <w:p w:rsidR="002E7D98" w:rsidRDefault="002E7D98" w:rsidP="006A0356">
      <w:pPr>
        <w:jc w:val="both"/>
        <w:rPr>
          <w:rFonts w:ascii="Arial" w:hAnsi="Arial" w:cs="Arial"/>
        </w:rPr>
      </w:pPr>
    </w:p>
    <w:p w:rsidR="002E7D98" w:rsidRDefault="00A87BE2" w:rsidP="006A0356">
      <w:pPr>
        <w:jc w:val="both"/>
        <w:rPr>
          <w:rFonts w:ascii="Arial" w:hAnsi="Arial" w:cs="Arial"/>
        </w:rPr>
      </w:pPr>
      <w:proofErr w:type="spellStart"/>
      <w:r>
        <w:rPr>
          <w:rFonts w:ascii="Arial" w:hAnsi="Arial" w:cs="Arial"/>
        </w:rPr>
        <w:t>Poepsel</w:t>
      </w:r>
      <w:proofErr w:type="spellEnd"/>
      <w:r>
        <w:rPr>
          <w:rFonts w:ascii="Arial" w:hAnsi="Arial" w:cs="Arial"/>
        </w:rPr>
        <w:t xml:space="preserve"> 2015</w:t>
      </w:r>
    </w:p>
    <w:p w:rsidR="00FB0F3E" w:rsidRDefault="00FB0F3E" w:rsidP="006A0356">
      <w:pPr>
        <w:jc w:val="both"/>
        <w:rPr>
          <w:rFonts w:ascii="Arial" w:hAnsi="Arial" w:cs="Arial"/>
        </w:rPr>
      </w:pPr>
      <w:r>
        <w:rPr>
          <w:noProof/>
        </w:rPr>
        <w:drawing>
          <wp:inline distT="0" distB="0" distL="0" distR="0" wp14:anchorId="6062911F" wp14:editId="35602B5F">
            <wp:extent cx="4532583" cy="4396509"/>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0368" cy="4404060"/>
                    </a:xfrm>
                    <a:prstGeom prst="rect">
                      <a:avLst/>
                    </a:prstGeom>
                  </pic:spPr>
                </pic:pic>
              </a:graphicData>
            </a:graphic>
          </wp:inline>
        </w:drawing>
      </w:r>
    </w:p>
    <w:p w:rsidR="00FB0F3E" w:rsidRDefault="00FB0F3E" w:rsidP="006A0356">
      <w:pPr>
        <w:jc w:val="both"/>
        <w:rPr>
          <w:rFonts w:ascii="Arial" w:hAnsi="Arial" w:cs="Arial"/>
        </w:rPr>
      </w:pPr>
      <w:r w:rsidRPr="00FB0F3E">
        <w:rPr>
          <w:rFonts w:ascii="Arial" w:hAnsi="Arial" w:cs="Arial"/>
          <w:noProof/>
        </w:rPr>
        <w:lastRenderedPageBreak/>
        <w:drawing>
          <wp:inline distT="0" distB="0" distL="0" distR="0" wp14:anchorId="3BBEFD3C" wp14:editId="5B602E89">
            <wp:extent cx="5943600" cy="1167765"/>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5943600" cy="1167765"/>
                    </a:xfrm>
                    <a:prstGeom prst="rect">
                      <a:avLst/>
                    </a:prstGeom>
                  </pic:spPr>
                </pic:pic>
              </a:graphicData>
            </a:graphic>
          </wp:inline>
        </w:drawing>
      </w:r>
    </w:p>
    <w:p w:rsidR="00A87BE2" w:rsidRDefault="004F7CB8" w:rsidP="006A0356">
      <w:pPr>
        <w:jc w:val="both"/>
        <w:rPr>
          <w:rFonts w:ascii="Arial" w:hAnsi="Arial" w:cs="Arial"/>
        </w:rPr>
      </w:pPr>
      <w:r>
        <w:rPr>
          <w:noProof/>
        </w:rPr>
        <w:drawing>
          <wp:inline distT="0" distB="0" distL="0" distR="0" wp14:anchorId="79C913E6" wp14:editId="320D564B">
            <wp:extent cx="5362575" cy="3495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495675"/>
                    </a:xfrm>
                    <a:prstGeom prst="rect">
                      <a:avLst/>
                    </a:prstGeom>
                  </pic:spPr>
                </pic:pic>
              </a:graphicData>
            </a:graphic>
          </wp:inline>
        </w:drawing>
      </w:r>
      <w:r>
        <w:rPr>
          <w:noProof/>
        </w:rPr>
        <w:drawing>
          <wp:inline distT="0" distB="0" distL="0" distR="0" wp14:anchorId="06198DF7" wp14:editId="1D67F3F4">
            <wp:extent cx="50292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486025"/>
                    </a:xfrm>
                    <a:prstGeom prst="rect">
                      <a:avLst/>
                    </a:prstGeom>
                  </pic:spPr>
                </pic:pic>
              </a:graphicData>
            </a:graphic>
          </wp:inline>
        </w:drawing>
      </w:r>
    </w:p>
    <w:p w:rsidR="004F7CB8" w:rsidRDefault="004F7CB8" w:rsidP="006A0356">
      <w:pPr>
        <w:jc w:val="both"/>
        <w:rPr>
          <w:rFonts w:ascii="Arial" w:hAnsi="Arial" w:cs="Arial"/>
        </w:rPr>
      </w:pPr>
      <w:r w:rsidRPr="004F7CB8">
        <w:rPr>
          <w:rFonts w:ascii="Arial" w:hAnsi="Arial" w:cs="Arial"/>
        </w:rPr>
        <w:t>Binding of the tau peptide KTDHGAEIV (residues 385–393) to the PDZ domain of HTRA1 measured by ITC</w:t>
      </w:r>
    </w:p>
    <w:p w:rsidR="00A87BE2" w:rsidRDefault="00A87BE2" w:rsidP="006A0356">
      <w:pPr>
        <w:jc w:val="both"/>
        <w:rPr>
          <w:rFonts w:ascii="Arial" w:hAnsi="Arial" w:cs="Arial"/>
        </w:rPr>
      </w:pPr>
      <w:r>
        <w:rPr>
          <w:noProof/>
        </w:rPr>
        <w:lastRenderedPageBreak/>
        <w:drawing>
          <wp:inline distT="0" distB="0" distL="0" distR="0" wp14:anchorId="15A5AC42" wp14:editId="35B5951F">
            <wp:extent cx="2313354"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5686" cy="1532124"/>
                    </a:xfrm>
                    <a:prstGeom prst="rect">
                      <a:avLst/>
                    </a:prstGeom>
                  </pic:spPr>
                </pic:pic>
              </a:graphicData>
            </a:graphic>
          </wp:inline>
        </w:drawing>
      </w:r>
      <w:r>
        <w:rPr>
          <w:rFonts w:ascii="Arial" w:hAnsi="Arial" w:cs="Arial"/>
        </w:rPr>
        <w:t xml:space="preserve"> Binding with Htra1</w:t>
      </w:r>
    </w:p>
    <w:p w:rsidR="004F7CB8" w:rsidRDefault="00F64175" w:rsidP="006A0356">
      <w:pPr>
        <w:jc w:val="both"/>
        <w:rPr>
          <w:rFonts w:ascii="Arial" w:hAnsi="Arial" w:cs="Arial"/>
        </w:rPr>
      </w:pPr>
      <w:r>
        <w:rPr>
          <w:noProof/>
        </w:rPr>
        <w:drawing>
          <wp:inline distT="0" distB="0" distL="0" distR="0" wp14:anchorId="278DE28E" wp14:editId="58282D35">
            <wp:extent cx="5943600" cy="1519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19555"/>
                    </a:xfrm>
                    <a:prstGeom prst="rect">
                      <a:avLst/>
                    </a:prstGeom>
                  </pic:spPr>
                </pic:pic>
              </a:graphicData>
            </a:graphic>
          </wp:inline>
        </w:drawing>
      </w:r>
    </w:p>
    <w:p w:rsidR="00A87BE2" w:rsidRDefault="00A87BE2" w:rsidP="006A0356">
      <w:pPr>
        <w:jc w:val="both"/>
        <w:rPr>
          <w:rFonts w:ascii="Arial" w:hAnsi="Arial" w:cs="Arial"/>
        </w:rPr>
      </w:pPr>
      <w:r>
        <w:rPr>
          <w:noProof/>
        </w:rPr>
        <w:drawing>
          <wp:inline distT="0" distB="0" distL="0" distR="0" wp14:anchorId="0F5D344C" wp14:editId="77BA212A">
            <wp:extent cx="3574473" cy="2846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5977" cy="2863464"/>
                    </a:xfrm>
                    <a:prstGeom prst="rect">
                      <a:avLst/>
                    </a:prstGeom>
                  </pic:spPr>
                </pic:pic>
              </a:graphicData>
            </a:graphic>
          </wp:inline>
        </w:drawing>
      </w:r>
    </w:p>
    <w:p w:rsidR="00CC4C81" w:rsidRDefault="00CC4C81" w:rsidP="006A0356">
      <w:pPr>
        <w:jc w:val="both"/>
        <w:rPr>
          <w:rFonts w:ascii="Arial" w:hAnsi="Arial" w:cs="Arial"/>
        </w:rPr>
      </w:pPr>
    </w:p>
    <w:p w:rsidR="00CC4C81" w:rsidRDefault="00CC4C81" w:rsidP="006A0356">
      <w:pPr>
        <w:jc w:val="both"/>
        <w:rPr>
          <w:rFonts w:ascii="Arial" w:hAnsi="Arial" w:cs="Arial"/>
        </w:rPr>
      </w:pPr>
      <w:r>
        <w:rPr>
          <w:rFonts w:ascii="Arial" w:hAnsi="Arial" w:cs="Arial"/>
        </w:rPr>
        <w:t>Tuttle 2016</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Fitzpatrick 2017</w:t>
      </w:r>
    </w:p>
    <w:p w:rsidR="00CC4C81" w:rsidRDefault="00CC4C81" w:rsidP="006A0356">
      <w:pPr>
        <w:jc w:val="both"/>
        <w:rPr>
          <w:rFonts w:ascii="Arial" w:hAnsi="Arial" w:cs="Arial"/>
        </w:rPr>
      </w:pPr>
      <w:r w:rsidRPr="00CC4C81">
        <w:rPr>
          <w:rFonts w:ascii="Arial" w:hAnsi="Arial" w:cs="Arial"/>
          <w:noProof/>
        </w:rPr>
        <w:lastRenderedPageBreak/>
        <w:drawing>
          <wp:inline distT="0" distB="0" distL="0" distR="0" wp14:anchorId="63275263" wp14:editId="240FF24C">
            <wp:extent cx="2770909" cy="2277957"/>
            <wp:effectExtent l="0" t="0" r="0" b="825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2" cstate="print">
                      <a:extLst>
                        <a:ext uri="{28A0092B-C50C-407E-A947-70E740481C1C}">
                          <a14:useLocalDpi xmlns:a14="http://schemas.microsoft.com/office/drawing/2010/main" val="0"/>
                        </a:ext>
                      </a:extLst>
                    </a:blip>
                    <a:srcRect l="30469" t="6937" r="27812" b="31883"/>
                    <a:stretch/>
                  </pic:blipFill>
                  <pic:spPr>
                    <a:xfrm>
                      <a:off x="0" y="0"/>
                      <a:ext cx="2777203" cy="2283131"/>
                    </a:xfrm>
                    <a:prstGeom prst="rect">
                      <a:avLst/>
                    </a:prstGeom>
                  </pic:spPr>
                </pic:pic>
              </a:graphicData>
            </a:graphic>
          </wp:inline>
        </w:drawing>
      </w:r>
      <w:r>
        <w:rPr>
          <w:rFonts w:ascii="Arial" w:hAnsi="Arial" w:cs="Arial"/>
        </w:rPr>
        <w:t xml:space="preserve">     </w:t>
      </w:r>
      <w:r w:rsidRPr="00CC4C81">
        <w:rPr>
          <w:rFonts w:ascii="Arial" w:hAnsi="Arial" w:cs="Arial"/>
          <w:noProof/>
        </w:rPr>
        <w:drawing>
          <wp:inline distT="0" distB="0" distL="0" distR="0" wp14:anchorId="1EBAA039" wp14:editId="78A16B38">
            <wp:extent cx="3013661" cy="2105891"/>
            <wp:effectExtent l="0" t="0" r="0" b="889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3" cstate="print">
                      <a:extLst>
                        <a:ext uri="{28A0092B-C50C-407E-A947-70E740481C1C}">
                          <a14:useLocalDpi xmlns:a14="http://schemas.microsoft.com/office/drawing/2010/main" val="0"/>
                        </a:ext>
                      </a:extLst>
                    </a:blip>
                    <a:srcRect l="15390" t="6659" r="14062" b="5403"/>
                    <a:stretch/>
                  </pic:blipFill>
                  <pic:spPr>
                    <a:xfrm>
                      <a:off x="0" y="0"/>
                      <a:ext cx="3028394" cy="2116186"/>
                    </a:xfrm>
                    <a:prstGeom prst="rect">
                      <a:avLst/>
                    </a:prstGeom>
                  </pic:spPr>
                </pic:pic>
              </a:graphicData>
            </a:graphic>
          </wp:inline>
        </w:drawing>
      </w:r>
    </w:p>
    <w:p w:rsidR="00CC4C81" w:rsidRPr="00FF09E5" w:rsidRDefault="00CC4C81" w:rsidP="006A0356">
      <w:pPr>
        <w:jc w:val="both"/>
        <w:rPr>
          <w:rFonts w:ascii="Arial" w:hAnsi="Arial" w:cs="Arial"/>
        </w:rPr>
      </w:pPr>
    </w:p>
    <w:sectPr w:rsidR="00CC4C81" w:rsidRPr="00FF0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EBA"/>
    <w:rsid w:val="00031EA4"/>
    <w:rsid w:val="00040329"/>
    <w:rsid w:val="000D0D99"/>
    <w:rsid w:val="000D3E52"/>
    <w:rsid w:val="000F4CEA"/>
    <w:rsid w:val="001C1457"/>
    <w:rsid w:val="001D1DBA"/>
    <w:rsid w:val="00216D72"/>
    <w:rsid w:val="00297CFB"/>
    <w:rsid w:val="002C4409"/>
    <w:rsid w:val="002E7D98"/>
    <w:rsid w:val="00302E44"/>
    <w:rsid w:val="003148D3"/>
    <w:rsid w:val="00315193"/>
    <w:rsid w:val="00366ECE"/>
    <w:rsid w:val="003822D7"/>
    <w:rsid w:val="003A008D"/>
    <w:rsid w:val="003B1EE9"/>
    <w:rsid w:val="003C1E29"/>
    <w:rsid w:val="003F7EBA"/>
    <w:rsid w:val="004C5AE5"/>
    <w:rsid w:val="004D0A59"/>
    <w:rsid w:val="004F14A1"/>
    <w:rsid w:val="004F3D4E"/>
    <w:rsid w:val="004F7CB8"/>
    <w:rsid w:val="00506A50"/>
    <w:rsid w:val="0051037A"/>
    <w:rsid w:val="00533095"/>
    <w:rsid w:val="005A677C"/>
    <w:rsid w:val="005B7F23"/>
    <w:rsid w:val="005E7503"/>
    <w:rsid w:val="006816A6"/>
    <w:rsid w:val="006A0356"/>
    <w:rsid w:val="006F1CE8"/>
    <w:rsid w:val="007553C3"/>
    <w:rsid w:val="0075636F"/>
    <w:rsid w:val="007B0AC1"/>
    <w:rsid w:val="007C0BA9"/>
    <w:rsid w:val="0089587E"/>
    <w:rsid w:val="008F6B23"/>
    <w:rsid w:val="009B0224"/>
    <w:rsid w:val="009B24AB"/>
    <w:rsid w:val="009F4387"/>
    <w:rsid w:val="00A67A0C"/>
    <w:rsid w:val="00A77FBC"/>
    <w:rsid w:val="00A8345D"/>
    <w:rsid w:val="00A87BE2"/>
    <w:rsid w:val="00A97B00"/>
    <w:rsid w:val="00B7340E"/>
    <w:rsid w:val="00BE134B"/>
    <w:rsid w:val="00CC4C81"/>
    <w:rsid w:val="00D543FA"/>
    <w:rsid w:val="00D7723C"/>
    <w:rsid w:val="00D83AAB"/>
    <w:rsid w:val="00D87B69"/>
    <w:rsid w:val="00E36B3A"/>
    <w:rsid w:val="00E44206"/>
    <w:rsid w:val="00E521AD"/>
    <w:rsid w:val="00E62E7D"/>
    <w:rsid w:val="00E65074"/>
    <w:rsid w:val="00E7549C"/>
    <w:rsid w:val="00ED56BE"/>
    <w:rsid w:val="00F46B3F"/>
    <w:rsid w:val="00F5631C"/>
    <w:rsid w:val="00F64175"/>
    <w:rsid w:val="00FB0F3E"/>
    <w:rsid w:val="00FC0ED1"/>
    <w:rsid w:val="00FC10FB"/>
    <w:rsid w:val="00FE5827"/>
    <w:rsid w:val="00FF0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6B790-D407-4B2C-9462-ECB7C90E8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9741304-50D7-4474-AEC9-10159BD05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9494</TotalTime>
  <Pages>15</Pages>
  <Words>14454</Words>
  <Characters>82388</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Lubin</dc:creator>
  <cp:keywords/>
  <dc:description/>
  <cp:lastModifiedBy>Joseph Lubin</cp:lastModifiedBy>
  <cp:revision>40</cp:revision>
  <dcterms:created xsi:type="dcterms:W3CDTF">2018-06-04T12:10:00Z</dcterms:created>
  <dcterms:modified xsi:type="dcterms:W3CDTF">2018-09-25T22:02:00Z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http://csl.mendeley.com/styles/479768891/nature</vt:lpwstr>
  </property>
  <property fmtid="{D5CDD505-2E9C-101B-9397-08002B2CF9AE}" pid="19" name="Mendeley Recent Style Name 8_1">
    <vt:lpwstr>Nature - Joseph Lubin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ffbd8cc8-bd93-3790-a737-61014b357ba2</vt:lpwstr>
  </property>
  <property fmtid="{D5CDD505-2E9C-101B-9397-08002B2CF9AE}" pid="24" name="Mendeley Citation Style_1">
    <vt:lpwstr>http://www.zotero.org/styles/nature</vt:lpwstr>
  </property>
</Properties>
</file>