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2EAC0">
      <w:pPr>
        <w:jc w:val="center"/>
        <w:rPr>
          <w:rFonts w:ascii="黑体" w:hAnsi="黑体" w:eastAsia="黑体" w:cs="黑体"/>
          <w:b/>
          <w:bCs/>
          <w:sz w:val="36"/>
          <w:szCs w:val="36"/>
          <w:highlight w:val="none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</w:rPr>
        <w:t>天津大学202</w:t>
      </w:r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</w:rPr>
        <w:t>届本科生毕业设计（论文）工作日程安排表</w:t>
      </w:r>
    </w:p>
    <w:tbl>
      <w:tblPr>
        <w:tblStyle w:val="6"/>
        <w:tblW w:w="14467" w:type="dxa"/>
        <w:tblInd w:w="-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290"/>
        <w:gridCol w:w="11407"/>
      </w:tblGrid>
      <w:tr w14:paraId="56CA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7" w:hRule="atLeast"/>
        </w:trPr>
        <w:tc>
          <w:tcPr>
            <w:tcW w:w="1770" w:type="dxa"/>
            <w:vAlign w:val="center"/>
          </w:tcPr>
          <w:p w14:paraId="3DE2A442"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highlight w:val="none"/>
              </w:rPr>
              <w:t>时间</w:t>
            </w:r>
          </w:p>
        </w:tc>
        <w:tc>
          <w:tcPr>
            <w:tcW w:w="1290" w:type="dxa"/>
            <w:vAlign w:val="center"/>
          </w:tcPr>
          <w:p w14:paraId="1DDD66EB"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highlight w:val="none"/>
              </w:rPr>
              <w:t>工作内容</w:t>
            </w:r>
          </w:p>
        </w:tc>
        <w:tc>
          <w:tcPr>
            <w:tcW w:w="11407" w:type="dxa"/>
            <w:vAlign w:val="center"/>
          </w:tcPr>
          <w:p w14:paraId="406BBD29">
            <w:pPr>
              <w:jc w:val="center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highlight w:val="none"/>
              </w:rPr>
              <w:t>工作要求</w:t>
            </w:r>
          </w:p>
        </w:tc>
      </w:tr>
      <w:tr w14:paraId="3C30A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044094F6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11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前</w:t>
            </w:r>
          </w:p>
        </w:tc>
        <w:tc>
          <w:tcPr>
            <w:tcW w:w="1290" w:type="dxa"/>
            <w:vAlign w:val="center"/>
          </w:tcPr>
          <w:p w14:paraId="4DE290AB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完成启动与选题</w:t>
            </w:r>
          </w:p>
        </w:tc>
        <w:tc>
          <w:tcPr>
            <w:tcW w:w="11407" w:type="dxa"/>
            <w:vAlign w:val="center"/>
          </w:tcPr>
          <w:p w14:paraId="24F46A43">
            <w:pPr>
              <w:pStyle w:val="4"/>
              <w:widowControl/>
              <w:numPr>
                <w:ilvl w:val="0"/>
                <w:numId w:val="1"/>
              </w:numPr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启动动员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：学院布置和启动20</w:t>
            </w:r>
            <w:r>
              <w:rPr>
                <w:rFonts w:ascii="仿宋_GB2312" w:hAnsi="仿宋_GB2312" w:eastAsia="仿宋_GB2312" w:cs="仿宋_GB2312"/>
                <w:highlight w:val="none"/>
              </w:rPr>
              <w:t>2</w:t>
            </w:r>
            <w:r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届本科生毕业设计（论文）工作，选派指导教师，对指导教师和学生开展培训动员。</w:t>
            </w:r>
          </w:p>
          <w:p w14:paraId="604A18FD">
            <w:pPr>
              <w:pStyle w:val="4"/>
              <w:widowControl/>
              <w:numPr>
                <w:ilvl w:val="0"/>
                <w:numId w:val="1"/>
              </w:numPr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系统初始化：202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.1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27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前，学院教务老师初始化毕设管理系统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，包括工作领导小组、新增指导教师、审题工作组、审题安排的设置，系统支持往年数据复制导入。</w:t>
            </w:r>
          </w:p>
          <w:p w14:paraId="0170AF52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选题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：指导教师线上申报课题；学生线上查询课题；学生与教师线下进行双向选择；指导教师线上录入选题结果。</w:t>
            </w:r>
          </w:p>
          <w:p w14:paraId="25D02FC1">
            <w:pPr>
              <w:adjustRightInd w:val="0"/>
              <w:snapToGrid w:val="0"/>
              <w:rPr>
                <w:rFonts w:ascii="仿宋_GB2312" w:hAnsi="宋体" w:eastAsia="仿宋_GB2312" w:cs="Times New Roman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highlight w:val="none"/>
              </w:rPr>
              <w:t>【选题要求】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highlight w:val="none"/>
              </w:rPr>
              <w:t>：（</w:t>
            </w:r>
            <w:r>
              <w:rPr>
                <w:rFonts w:hint="eastAsia" w:ascii="仿宋_GB2312" w:hAnsi="宋体" w:eastAsia="仿宋_GB2312" w:cs="Times New Roman"/>
                <w:kern w:val="0"/>
                <w:sz w:val="24"/>
                <w:highlight w:val="none"/>
              </w:rPr>
              <w:t>1）毕业设计（论文）题目的选择要符合人才培养目标要求，达到综合训练的目的。设计或研究的内容应有利于学生巩固、消化所学知识，有利于培养学生分析和解决实际问题的能力，课题难度要适中，工作量要饱满，使学生能在规定时间内完成任务。（2）根据专业性质，选题要有所侧重。工科类专业要增加工程设计课题比例，研究型课题要适当添加所研究内容的技术经济分析。人文社科管理类专业应避免题目过大、过小、过空等现象。（3）毕业设计（论文）选题要求一人一题，提倡“真题真做”，要结合生产、科研或</w:t>
            </w:r>
            <w:r>
              <w:rPr>
                <w:rFonts w:hint="eastAsia" w:ascii="仿宋_GB2312" w:hAnsi="宋体" w:eastAsia="仿宋_GB2312" w:cs="Times New Roman"/>
                <w:kern w:val="0"/>
                <w:sz w:val="24"/>
                <w:highlight w:val="none"/>
                <w:lang w:eastAsia="zh-CN"/>
              </w:rPr>
              <w:t>其他</w:t>
            </w:r>
            <w:r>
              <w:rPr>
                <w:rFonts w:hint="eastAsia" w:ascii="仿宋_GB2312" w:hAnsi="宋体" w:eastAsia="仿宋_GB2312" w:cs="Times New Roman"/>
                <w:kern w:val="0"/>
                <w:sz w:val="24"/>
                <w:highlight w:val="none"/>
              </w:rPr>
              <w:t>实际任务，优先选取既能满足教学要求，又能联系生产和科研实际的课题。工科专业结合实际课题应达到课题总数的80%以上，人文类专业要选择与社会实践相结合的课题。（4）对于需实地开展实验实践活动的毕业设计（论文），指导教师应提前做好工作安排并加强指导，提高实验效率，做好进度安排；应</w:t>
            </w:r>
            <w:r>
              <w:rPr>
                <w:rFonts w:ascii="仿宋_GB2312" w:hAnsi="宋体" w:eastAsia="仿宋_GB2312" w:cs="Times New Roman"/>
                <w:kern w:val="0"/>
                <w:sz w:val="24"/>
                <w:highlight w:val="none"/>
              </w:rPr>
              <w:t>提前做好选题调整预案，以</w:t>
            </w:r>
            <w:r>
              <w:rPr>
                <w:rFonts w:hint="eastAsia" w:ascii="仿宋_GB2312" w:hAnsi="宋体" w:eastAsia="仿宋_GB2312" w:cs="Times New Roman"/>
                <w:kern w:val="0"/>
                <w:sz w:val="24"/>
                <w:highlight w:val="none"/>
              </w:rPr>
              <w:t>应对可</w:t>
            </w:r>
            <w:r>
              <w:rPr>
                <w:rFonts w:ascii="仿宋_GB2312" w:hAnsi="宋体" w:eastAsia="仿宋_GB2312" w:cs="Times New Roman"/>
                <w:kern w:val="0"/>
                <w:sz w:val="24"/>
                <w:highlight w:val="none"/>
              </w:rPr>
              <w:t>能出现</w:t>
            </w:r>
            <w:r>
              <w:rPr>
                <w:rFonts w:hint="eastAsia" w:ascii="仿宋_GB2312" w:hAnsi="宋体" w:eastAsia="仿宋_GB2312" w:cs="Times New Roman"/>
                <w:kern w:val="0"/>
                <w:sz w:val="24"/>
                <w:highlight w:val="none"/>
              </w:rPr>
              <w:t>的外部条件变化。</w:t>
            </w:r>
          </w:p>
          <w:p w14:paraId="5B2C6B33">
            <w:pPr>
              <w:adjustRightInd w:val="0"/>
              <w:snapToGrid w:val="0"/>
              <w:rPr>
                <w:rFonts w:ascii="仿宋_GB2312" w:hAnsi="仿宋_GB2312" w:eastAsia="仿宋_GB2312" w:cs="仿宋_GB2312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Times New Roman"/>
                <w:b/>
                <w:bCs/>
                <w:kern w:val="0"/>
                <w:sz w:val="24"/>
                <w:highlight w:val="none"/>
              </w:rPr>
              <w:t>【审题要求】</w:t>
            </w:r>
            <w:r>
              <w:rPr>
                <w:rFonts w:hint="eastAsia" w:ascii="仿宋_GB2312" w:hAnsi="宋体" w:eastAsia="仿宋_GB2312" w:cs="Times New Roman"/>
                <w:kern w:val="0"/>
                <w:sz w:val="24"/>
                <w:highlight w:val="none"/>
              </w:rPr>
              <w:t>：各系级单位应成立毕业设计（论文）审题工作组，负责对本系指导教师、学生上报题目进行审核。对于不符合选题要求的题目要及时进行反馈、整改。</w:t>
            </w:r>
          </w:p>
        </w:tc>
      </w:tr>
      <w:tr w14:paraId="7B95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6B9E0136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1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30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前</w:t>
            </w:r>
          </w:p>
        </w:tc>
        <w:tc>
          <w:tcPr>
            <w:tcW w:w="1290" w:type="dxa"/>
            <w:vAlign w:val="center"/>
          </w:tcPr>
          <w:p w14:paraId="0C4335A5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完成开题</w:t>
            </w:r>
          </w:p>
        </w:tc>
        <w:tc>
          <w:tcPr>
            <w:tcW w:w="11407" w:type="dxa"/>
            <w:vAlign w:val="center"/>
          </w:tcPr>
          <w:p w14:paraId="2F5FCD37"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仿宋_GB2312" w:hAnsi="Times New Roman" w:eastAsia="仿宋_GB2312" w:cs="Times New Roman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kern w:val="0"/>
                <w:sz w:val="24"/>
                <w:highlight w:val="none"/>
              </w:rPr>
              <w:t>任务书拟定</w:t>
            </w:r>
            <w:r>
              <w:rPr>
                <w:rFonts w:hint="eastAsia" w:ascii="仿宋_GB2312" w:hAnsi="Times New Roman" w:eastAsia="仿宋_GB2312" w:cs="Times New Roman"/>
                <w:kern w:val="0"/>
                <w:sz w:val="24"/>
                <w:highlight w:val="none"/>
              </w:rPr>
              <w:t>：指导教师拟定任务书并上传到毕设管理系统。</w:t>
            </w:r>
          </w:p>
          <w:p w14:paraId="1761EF45"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仿宋_GB2312" w:hAnsi="Times New Roman" w:eastAsia="仿宋_GB2312" w:cs="Times New Roman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kern w:val="0"/>
                <w:sz w:val="24"/>
                <w:highlight w:val="none"/>
              </w:rPr>
              <w:t>开题报告撰写</w:t>
            </w:r>
            <w:r>
              <w:rPr>
                <w:rFonts w:hint="eastAsia" w:ascii="仿宋_GB2312" w:hAnsi="Times New Roman" w:eastAsia="仿宋_GB2312" w:cs="Times New Roman"/>
                <w:kern w:val="0"/>
                <w:sz w:val="24"/>
                <w:highlight w:val="none"/>
              </w:rPr>
              <w:t>：学生填写开题报告并上传到毕设管理系统，指导教师线上审核开题报告。</w:t>
            </w:r>
          </w:p>
          <w:p w14:paraId="1206B918"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仿宋_GB2312" w:hAnsi="Times New Roman" w:eastAsia="仿宋_GB2312" w:cs="Times New Roman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kern w:val="0"/>
                <w:sz w:val="24"/>
                <w:highlight w:val="none"/>
              </w:rPr>
              <w:t>学院开题检查：</w:t>
            </w:r>
            <w:r>
              <w:rPr>
                <w:rFonts w:hint="eastAsia" w:ascii="仿宋_GB2312" w:hAnsi="Times New Roman" w:eastAsia="仿宋_GB2312" w:cs="Times New Roman"/>
                <w:kern w:val="0"/>
                <w:sz w:val="24"/>
                <w:highlight w:val="none"/>
              </w:rPr>
              <w:t>各学院（部）对毕业设计（论文）的选题、任务书、开题报告进行自查，审题工作组（操作人）线上审核任务书、开题报告。对存在的问题及时解决，并督促指导教师和学生做好下一阶段的工作。</w:t>
            </w:r>
          </w:p>
          <w:p w14:paraId="2BA85F9A"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仿宋_GB2312" w:hAnsi="Times New Roman" w:eastAsia="仿宋_GB2312" w:cs="Times New Roman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kern w:val="0"/>
                <w:sz w:val="24"/>
                <w:highlight w:val="none"/>
              </w:rPr>
              <w:t>学校开题抽查：</w:t>
            </w:r>
            <w:r>
              <w:rPr>
                <w:rFonts w:hint="eastAsia" w:ascii="仿宋_GB2312" w:hAnsi="Times New Roman" w:eastAsia="仿宋_GB2312" w:cs="Times New Roman"/>
                <w:kern w:val="0"/>
                <w:sz w:val="24"/>
                <w:highlight w:val="none"/>
              </w:rPr>
              <w:t>学校组织专家以专业为单位、按照毕业生人数的10%，通过“天津大学本科生毕业设计（论文）管理系统”进行随机抽查，并将抽查结果反馈各学院（部）。</w:t>
            </w:r>
          </w:p>
          <w:p w14:paraId="76C5929F">
            <w:pPr>
              <w:adjustRightInd w:val="0"/>
              <w:snapToGrid w:val="0"/>
              <w:rPr>
                <w:rFonts w:ascii="仿宋_GB2312" w:hAnsi="Times New Roman" w:eastAsia="仿宋_GB2312" w:cs="Times New Roman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kern w:val="0"/>
                <w:sz w:val="24"/>
                <w:highlight w:val="none"/>
              </w:rPr>
              <w:t>【任务书注意事项】：（</w:t>
            </w:r>
            <w:r>
              <w:rPr>
                <w:rFonts w:hint="eastAsia" w:ascii="仿宋_GB2312" w:hAnsi="Times New Roman" w:eastAsia="仿宋_GB2312" w:cs="Times New Roman"/>
                <w:kern w:val="0"/>
                <w:sz w:val="24"/>
                <w:highlight w:val="none"/>
              </w:rPr>
              <w:t>1）任务书内容及格式参照《天津大学本科生毕业设计（论文）任务书》模板要求；（2）题目是毕业设计（论文）总体内容的体现，一般不宜超过25字；（3）参考文献应包含外文文献。</w:t>
            </w:r>
          </w:p>
          <w:p w14:paraId="22725FFF">
            <w:pPr>
              <w:adjustRightInd w:val="0"/>
              <w:snapToGrid w:val="0"/>
              <w:rPr>
                <w:rFonts w:ascii="仿宋_GB2312" w:hAnsi="Times New Roman" w:eastAsia="仿宋_GB2312" w:cs="Times New Roman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kern w:val="0"/>
                <w:sz w:val="24"/>
                <w:highlight w:val="none"/>
              </w:rPr>
              <w:t>【开题报告注意事项】：（</w:t>
            </w:r>
            <w:r>
              <w:rPr>
                <w:rFonts w:hint="eastAsia" w:ascii="仿宋_GB2312" w:hAnsi="Times New Roman" w:eastAsia="仿宋_GB2312" w:cs="Times New Roman"/>
                <w:kern w:val="0"/>
                <w:sz w:val="24"/>
                <w:highlight w:val="none"/>
              </w:rPr>
              <w:t>1）开题报告内容及格式参照《天津大学本科生毕业设计（论文）开题报告》模板要求；（2）开题报告与任务书内容不能雷同；（3）参考文献数目应多于任务书中所列数目。</w:t>
            </w:r>
          </w:p>
        </w:tc>
      </w:tr>
      <w:tr w14:paraId="520F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C902098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.04.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前</w:t>
            </w:r>
          </w:p>
        </w:tc>
        <w:tc>
          <w:tcPr>
            <w:tcW w:w="1290" w:type="dxa"/>
            <w:vAlign w:val="center"/>
          </w:tcPr>
          <w:p w14:paraId="12E30E14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完成中期检查</w:t>
            </w:r>
          </w:p>
        </w:tc>
        <w:tc>
          <w:tcPr>
            <w:tcW w:w="11407" w:type="dxa"/>
            <w:vAlign w:val="center"/>
          </w:tcPr>
          <w:p w14:paraId="1E7B096B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1.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学生填报中期检查材料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：学生在毕设系统中填写中期检查情况，并由指导教师进行审核。</w:t>
            </w:r>
          </w:p>
          <w:p w14:paraId="57611CA3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eastAsia="仿宋_GB2312" w:cs="仿宋_GB2312" w:asciiTheme="minorHAnsi" w:hAnsiTheme="minorHAnsi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学院中期检查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：重点检查毕业设计（论文）的总体情况与进展情况、毕业设计（论文）管理系统的运行情况、校外毕业设计（论文）开展情况</w:t>
            </w:r>
            <w:r>
              <w:rPr>
                <w:rFonts w:hint="eastAsia" w:ascii="仿宋_GB2312" w:hAnsi="仿宋_GB2312" w:eastAsia="仿宋_GB2312" w:cs="仿宋_GB2312"/>
                <w:highlight w:val="none"/>
                <w:lang w:eastAsia="zh-CN"/>
              </w:rPr>
              <w:t>，以及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毕业设计（论文）任务书、开题报告问题整改情况，并将相关情况报送学校。</w:t>
            </w:r>
          </w:p>
          <w:p w14:paraId="12A79839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学校中期抽查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：组织专家对毕业设计（论文）的进度及完成情况进行抽查，抽查采取PPT答辩方式。</w:t>
            </w:r>
          </w:p>
        </w:tc>
      </w:tr>
      <w:tr w14:paraId="1C26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3D26354A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2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02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6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.0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5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25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前</w:t>
            </w:r>
          </w:p>
        </w:tc>
        <w:tc>
          <w:tcPr>
            <w:tcW w:w="1290" w:type="dxa"/>
            <w:vAlign w:val="center"/>
          </w:tcPr>
          <w:p w14:paraId="3EEA2CF9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完成论文评阅</w:t>
            </w:r>
          </w:p>
        </w:tc>
        <w:tc>
          <w:tcPr>
            <w:tcW w:w="11407" w:type="dxa"/>
            <w:vAlign w:val="center"/>
          </w:tcPr>
          <w:p w14:paraId="70A89EF2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eastAsia="仿宋_GB2312" w:cs="仿宋_GB2312" w:asciiTheme="minorHAnsi" w:hAnsiTheme="minorHAnsi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highlight w:val="none"/>
              </w:rPr>
              <w:t>1.完成论文撰写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：学生进行研究撰写，指导教师定期对学生进行指导。学生线上录入任务进展信息，指导教师线上确认任务进展信息。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学生应在毕设管理系统的“过程指导”中进行不少于14次记录。</w:t>
            </w:r>
          </w:p>
          <w:p w14:paraId="3B1F4AA8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2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提交论文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：学生在毕设系统提交论文（</w:t>
            </w:r>
            <w:r>
              <w:rPr>
                <w:rFonts w:hint="eastAsia" w:ascii="仿宋_GB2312" w:hAnsi="仿宋_GB2312" w:eastAsia="仿宋_GB2312" w:cs="仿宋_GB2312"/>
                <w:b/>
                <w:highlight w:val="none"/>
              </w:rPr>
              <w:t>其中独创性声明页，须是论文作者和指导教师签名并有日期的扫描页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）；抽中学院或学校盲审的还需按要求提交盲审版论文。</w:t>
            </w:r>
          </w:p>
          <w:p w14:paraId="14171E66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3.评阅论文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：指导教师在毕设系统指定评阅人并评阅论文，评阅教师在毕设系统评阅论文。</w:t>
            </w:r>
          </w:p>
          <w:p w14:paraId="1F1094E6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eastAsia="仿宋_GB2312" w:cs="仿宋_GB2312" w:asciiTheme="minorHAnsi" w:hAnsiTheme="minorHAnsi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4.查重检测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：各学院（部）根据本学院（部）查重工作实施方案组织对全部毕业设计（论文）进行查重检测</w:t>
            </w:r>
            <w:r>
              <w:rPr>
                <w:rFonts w:hint="eastAsia" w:ascii="仿宋_GB2312" w:hAnsi="仿宋_GB2312" w:eastAsia="仿宋_GB2312" w:cs="仿宋_GB2312"/>
                <w:highlight w:val="none"/>
                <w:lang w:eastAsia="zh-CN"/>
              </w:rPr>
              <w:t>（</w:t>
            </w:r>
            <w:r>
              <w:rPr>
                <w:rFonts w:hint="eastAsia" w:eastAsia="仿宋_GB2312" w:cs="仿宋_GB2312" w:asciiTheme="minorHAnsi" w:hAnsiTheme="minorHAnsi"/>
                <w:b/>
                <w:highlight w:val="none"/>
              </w:rPr>
              <w:t>学生</w:t>
            </w:r>
            <w:r>
              <w:rPr>
                <w:rFonts w:hint="eastAsia" w:eastAsia="仿宋_GB2312" w:cs="仿宋_GB2312"/>
                <w:b/>
                <w:highlight w:val="none"/>
                <w:lang w:val="en-US" w:eastAsia="zh-CN"/>
              </w:rPr>
              <w:t>在毕设管理系统中进行查重检测</w:t>
            </w:r>
            <w:r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</w:rPr>
              <w:t>），查重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覆盖率100%。</w:t>
            </w:r>
          </w:p>
          <w:p w14:paraId="0EA816D7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eastAsia="仿宋_GB2312" w:cs="仿宋_GB2312" w:asciiTheme="minorHAnsi" w:hAnsiTheme="minorHAnsi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【学校查重检测指导意见】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（1）文字复制比不超过25%的，可参加毕业设计（论文）答辩。（2）文字复制比达到25%以上的，首先由指导教师复核认定，有异议的提交相关证据材料，由院级学术委员会进行最终认定。（3）第二次查重检测的文字复制比不超过25%的，可参加毕业设计（论文）答辩；第二次查重检测的文字复制比达到25%以上的，取消答辩资格。（4）首次查重的文字复制比达到25%以上的，通过答辩后，成绩一般应在90分以下，不得参加评优。</w:t>
            </w:r>
          </w:p>
          <w:p w14:paraId="3215DDAC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5.学院盲审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盲审比例原则上不低于各专业（含辅修专业）本学年度已申请和拟申请学士学位总人数的10%，重点对选题意义、研究内容、逻辑构建、专业能力以及学术规范等进行考察。参加盲审的学生需根据盲审意见修改毕业设计（论文），由指导教师确认同意后方可参加答辩。</w:t>
            </w:r>
          </w:p>
          <w:p w14:paraId="3C97FD5E">
            <w:pPr>
              <w:pStyle w:val="4"/>
              <w:widowControl/>
              <w:adjustRightInd w:val="0"/>
              <w:snapToGrid w:val="0"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6.学校外审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外审范围为本学年度已申请和拟申请学士学位的所有论文，覆盖全部本科专业（含辅修专业），外审比例为各专业学生数的5%，送校外专家盲审。学生需根据外审意见修改毕业设计（论文），并由指导教师审核同</w:t>
            </w:r>
            <w:r>
              <w:rPr>
                <w:rFonts w:ascii="仿宋_GB2312" w:hAnsi="仿宋_GB2312" w:eastAsia="仿宋_GB2312" w:cs="仿宋_GB2312"/>
                <w:highlight w:val="none"/>
              </w:rPr>
              <w:t>意后提交毕设成绩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。</w:t>
            </w:r>
          </w:p>
        </w:tc>
      </w:tr>
      <w:tr w14:paraId="42280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0A0C9E20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.06.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07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前</w:t>
            </w:r>
          </w:p>
        </w:tc>
        <w:tc>
          <w:tcPr>
            <w:tcW w:w="1290" w:type="dxa"/>
            <w:vAlign w:val="center"/>
          </w:tcPr>
          <w:p w14:paraId="3FB7BE2F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完成答辩并提交成绩</w:t>
            </w:r>
          </w:p>
        </w:tc>
        <w:tc>
          <w:tcPr>
            <w:tcW w:w="11407" w:type="dxa"/>
            <w:vAlign w:val="center"/>
          </w:tcPr>
          <w:p w14:paraId="7AC8643A">
            <w:pPr>
              <w:pStyle w:val="4"/>
              <w:widowControl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1.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组织答辩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：学院进行答辩资格审核，确定答辩安排并报送学校，组织各答辩委员会开展答辩工作。</w:t>
            </w:r>
          </w:p>
          <w:p w14:paraId="67836928">
            <w:pPr>
              <w:pStyle w:val="4"/>
              <w:widowControl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答辩督导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：学校组织教学督导专家对答辩现场进行随机抽查，重点对答辩委员会的组成、答辩程序、答辩情况进行考查，并将抽查意见反馈学院（部）。</w:t>
            </w:r>
            <w:bookmarkStart w:id="0" w:name="_GoBack"/>
            <w:bookmarkEnd w:id="0"/>
          </w:p>
          <w:p w14:paraId="53F9CC7E">
            <w:pPr>
              <w:pStyle w:val="4"/>
              <w:widowControl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论文与成绩提交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：学生在毕设系统二次提交环节提交毕业设计（论文）文档最终版（</w:t>
            </w:r>
            <w:r>
              <w:rPr>
                <w:rFonts w:hint="eastAsia" w:ascii="仿宋_GB2312" w:hAnsi="仿宋_GB2312" w:eastAsia="仿宋_GB2312" w:cs="仿宋_GB2312"/>
                <w:b/>
                <w:highlight w:val="none"/>
              </w:rPr>
              <w:t>其中独创性声明页，须是论文作者和指导教师签名并有日期的扫描页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），答辩秘书提交答辩记录，学院提交成绩。</w:t>
            </w:r>
          </w:p>
        </w:tc>
      </w:tr>
      <w:tr w14:paraId="1619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644251DD">
            <w:pPr>
              <w:pStyle w:val="4"/>
              <w:widowControl/>
              <w:rPr>
                <w:rFonts w:hint="default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2026.06.08——2026.07.10</w:t>
            </w:r>
          </w:p>
        </w:tc>
        <w:tc>
          <w:tcPr>
            <w:tcW w:w="1290" w:type="dxa"/>
            <w:vAlign w:val="center"/>
          </w:tcPr>
          <w:p w14:paraId="46F26A54">
            <w:pPr>
              <w:pStyle w:val="4"/>
              <w:widowControl/>
              <w:rPr>
                <w:rFonts w:hint="default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毕设管理系统关闭</w:t>
            </w:r>
          </w:p>
        </w:tc>
        <w:tc>
          <w:tcPr>
            <w:tcW w:w="11407" w:type="dxa"/>
            <w:vAlign w:val="center"/>
          </w:tcPr>
          <w:p w14:paraId="1F6072AD">
            <w:pPr>
              <w:pStyle w:val="4"/>
              <w:widowControl/>
              <w:numPr>
                <w:ilvl w:val="0"/>
                <w:numId w:val="0"/>
              </w:numPr>
              <w:spacing w:beforeAutospacing="0" w:afterAutospacing="0"/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主功能关闭</w:t>
            </w:r>
            <w:r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</w:rPr>
              <w:t>：除“论文归档”功能之外的毕设系统功能，视本科生学位授予工作需要，于2026.06.08—2026.07.10期间关闭、开放毕设系统信息修改与材料上传工作。具体关闭和再开放时间将在毕设工作群中公告。</w:t>
            </w:r>
          </w:p>
          <w:p w14:paraId="71CD8A34">
            <w:pPr>
              <w:pStyle w:val="4"/>
              <w:widowControl/>
              <w:numPr>
                <w:ilvl w:val="0"/>
                <w:numId w:val="0"/>
              </w:numPr>
              <w:spacing w:beforeAutospacing="0" w:afterAutospacing="0"/>
              <w:rPr>
                <w:rFonts w:hint="default" w:ascii="仿宋_GB2312" w:hAnsi="仿宋_GB2312" w:eastAsia="仿宋_GB2312" w:cs="仿宋_GB231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highlight w:val="none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论文归档功能关闭：</w:t>
            </w:r>
            <w:r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</w:rPr>
              <w:t>毕设系统的论文归档功能开放至2026年9月30日关闭。</w:t>
            </w:r>
          </w:p>
        </w:tc>
      </w:tr>
      <w:tr w14:paraId="0706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4D4834E7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.0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9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.</w:t>
            </w:r>
            <w:r>
              <w:rPr>
                <w:rFonts w:ascii="仿宋_GB2312" w:hAnsi="仿宋_GB2312" w:eastAsia="仿宋_GB2312" w:cs="仿宋_GB2312"/>
                <w:b/>
                <w:bCs/>
                <w:highlight w:val="none"/>
              </w:rPr>
              <w:t>30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前</w:t>
            </w:r>
          </w:p>
        </w:tc>
        <w:tc>
          <w:tcPr>
            <w:tcW w:w="1290" w:type="dxa"/>
            <w:vAlign w:val="center"/>
          </w:tcPr>
          <w:p w14:paraId="6266FD2C">
            <w:pPr>
              <w:pStyle w:val="4"/>
              <w:widowControl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完成评优与抽检信息报送</w:t>
            </w:r>
          </w:p>
        </w:tc>
        <w:tc>
          <w:tcPr>
            <w:tcW w:w="11407" w:type="dxa"/>
            <w:vAlign w:val="center"/>
          </w:tcPr>
          <w:p w14:paraId="3C21314F">
            <w:pPr>
              <w:pStyle w:val="4"/>
              <w:widowControl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1.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评优：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优秀毕业设计（论文）与优秀毕业设计（论文）指导教师评选。</w:t>
            </w:r>
          </w:p>
          <w:p w14:paraId="0B2FCF79">
            <w:pPr>
              <w:pStyle w:val="4"/>
              <w:widowControl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学院自评：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学院成立自评专家小组对本院学生的毕业设计（论文）进行自查，并从管理文件、人员管理、过程管理、毕业设计（论文）质量等方面就毕业设计(论文)管理工作进行自评，认真总结工作中的经验和存在问题，针对发现的问题及时整改。</w:t>
            </w:r>
          </w:p>
          <w:p w14:paraId="0F50511F">
            <w:pPr>
              <w:pStyle w:val="4"/>
              <w:widowControl/>
              <w:spacing w:beforeAutospacing="0" w:afterAutospacing="0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学校抽样评估：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学校组织教学督导专家对各学院（部）提交的《天津大学毕业设计（论文）管理工作评价自评报告》进行检查，对各学院（部）毕业设计（论文）进行抽样评估，对答辩前外审毕业设计（论文）进行复审，并将评估结果反馈学院（部）。</w:t>
            </w:r>
          </w:p>
          <w:p w14:paraId="7DC0179D">
            <w:pPr>
              <w:pStyle w:val="4"/>
              <w:widowControl/>
              <w:spacing w:beforeAutospacing="0" w:afterAutospacing="0"/>
              <w:rPr>
                <w:rFonts w:eastAsia="仿宋_GB2312" w:cs="仿宋_GB2312" w:asciiTheme="minorHAnsi" w:hAnsiTheme="minorHAnsi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4</w:t>
            </w:r>
            <w:r>
              <w:rPr>
                <w:rFonts w:ascii="仿宋_GB2312" w:hAnsi="仿宋_GB2312" w:eastAsia="仿宋_GB2312" w:cs="仿宋_GB2312"/>
                <w:highlight w:val="none"/>
              </w:rPr>
              <w:t>.</w:t>
            </w:r>
            <w:r>
              <w:rPr>
                <w:rFonts w:hint="eastAsia" w:ascii="仿宋_GB2312" w:hAnsi="仿宋_GB2312" w:eastAsia="仿宋_GB2312" w:cs="仿宋_GB2312"/>
                <w:b/>
                <w:highlight w:val="none"/>
              </w:rPr>
              <w:t>抽检信息报送：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>学校组织各学院（部）完成全国抽检信息平台本科毕业论文原文报送，以及专家库信息更新与报送。</w:t>
            </w:r>
          </w:p>
        </w:tc>
      </w:tr>
    </w:tbl>
    <w:p w14:paraId="436B9339">
      <w:pPr>
        <w:rPr>
          <w:highlight w:val="none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E4BAB5"/>
    <w:multiLevelType w:val="singleLevel"/>
    <w:tmpl w:val="33E4BA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BBD43EC"/>
    <w:multiLevelType w:val="singleLevel"/>
    <w:tmpl w:val="4BBD43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E7D"/>
    <w:rsid w:val="00011D91"/>
    <w:rsid w:val="00043516"/>
    <w:rsid w:val="000E3488"/>
    <w:rsid w:val="004B2F99"/>
    <w:rsid w:val="007F7DD0"/>
    <w:rsid w:val="00A84043"/>
    <w:rsid w:val="00AE77AF"/>
    <w:rsid w:val="00B50E7D"/>
    <w:rsid w:val="00C36091"/>
    <w:rsid w:val="1BEC4BC0"/>
    <w:rsid w:val="24A9349C"/>
    <w:rsid w:val="3A5D27EA"/>
    <w:rsid w:val="4E7C7059"/>
    <w:rsid w:val="591C553F"/>
    <w:rsid w:val="64DA0DFC"/>
    <w:rsid w:val="6AA86D4A"/>
    <w:rsid w:val="7396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2682</Words>
  <Characters>2835</Characters>
  <Lines>19</Lines>
  <Paragraphs>5</Paragraphs>
  <TotalTime>29</TotalTime>
  <ScaleCrop>false</ScaleCrop>
  <LinksUpToDate>false</LinksUpToDate>
  <CharactersWithSpaces>2835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2023-10-07T05:20:00Z</dcterms:created>
  <dc:creator>aa</dc:creator>
  <cp:lastModifiedBy>陈胜蓝</cp:lastModifiedBy>
  <dcterms:modified xsi:type="dcterms:W3CDTF">2025-10-10T06:12:04Z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6C8CFD23DF6F490F826F6D6DA5B81C9A_13</vt:lpwstr>
  </property>
  <property fmtid="{D5CDD505-2E9C-101B-9397-08002B2CF9AE}" pid="4" name="KSOTemplateDocerSaveRecord">
    <vt:lpwstr>eyJoZGlkIjoiMjVmZWIyN2M2NmY5ZTQ4NDdkYjcwZjIzMGVmYWYxMjYiLCJ1c2VySWQiOiIxNjg4MTMxNTk0In0=</vt:lpwstr>
  </property>
</Properties>
</file>