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5BAE92">
      <w:pPr>
        <w:spacing w:line="240" w:lineRule="auto"/>
        <w:jc w:val="center"/>
        <w:rPr>
          <w:rFonts w:eastAsia="黑体"/>
          <w:b/>
          <w:sz w:val="44"/>
        </w:rPr>
      </w:pPr>
      <w:r>
        <w:rPr>
          <w:rFonts w:hint="eastAsia" w:eastAsia="黑体"/>
          <w:b/>
          <w:sz w:val="44"/>
        </w:rPr>
        <w:drawing>
          <wp:inline distT="0" distB="0" distL="0" distR="0">
            <wp:extent cx="2562225" cy="838200"/>
            <wp:effectExtent l="0" t="0" r="9525" b="0"/>
            <wp:docPr id="1" name="图片 1" descr="校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校名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2090B">
      <w:pPr>
        <w:widowControl w:val="0"/>
        <w:jc w:val="center"/>
        <w:rPr>
          <w:rFonts w:hint="eastAsia" w:ascii="Times New Roman" w:hAnsi="Times New Roman" w:eastAsia="黑体" w:cs="Times New Roman"/>
          <w:b/>
          <w:kern w:val="2"/>
          <w:sz w:val="44"/>
          <w:szCs w:val="24"/>
          <w:lang w:val="en-US" w:eastAsia="zh-CN" w:bidi="ar-SA"/>
        </w:rPr>
      </w:pPr>
      <w:r>
        <w:rPr>
          <w:rFonts w:hint="eastAsia" w:ascii="Times New Roman" w:hAnsi="Times New Roman" w:eastAsia="黑体" w:cs="Times New Roman"/>
          <w:b/>
          <w:kern w:val="2"/>
          <w:sz w:val="44"/>
          <w:szCs w:val="24"/>
          <w:lang w:val="en-US" w:eastAsia="zh-CN" w:bidi="ar-SA"/>
        </w:rPr>
        <w:t>本科生毕业设计（论文）开题报告</w:t>
      </w:r>
    </w:p>
    <w:p w14:paraId="4441720B">
      <w:pPr>
        <w:widowControl w:val="0"/>
        <w:jc w:val="both"/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</w:p>
    <w:p w14:paraId="5231F2DE">
      <w:pPr>
        <w:widowControl w:val="0"/>
        <w:jc w:val="both"/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</w:p>
    <w:p w14:paraId="3BAB61E9">
      <w:pPr>
        <w:widowControl w:val="0"/>
        <w:jc w:val="both"/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</w:p>
    <w:p w14:paraId="6D11B89B">
      <w:pPr>
        <w:widowControl w:val="0"/>
        <w:jc w:val="both"/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</w:p>
    <w:p w14:paraId="00836A1E">
      <w:pPr>
        <w:widowControl w:val="0"/>
        <w:jc w:val="both"/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</w:p>
    <w:p w14:paraId="69DB9192">
      <w:pPr>
        <w:widowControl w:val="0"/>
        <w:spacing w:line="240" w:lineRule="auto"/>
        <w:jc w:val="center"/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drawing>
          <wp:inline distT="0" distB="0" distL="0" distR="0">
            <wp:extent cx="2095500" cy="1924050"/>
            <wp:effectExtent l="0" t="0" r="0" b="0"/>
            <wp:docPr id="4" name="图片 4" descr="天津大学标准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天津大学标准校徽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95EA1">
      <w:pPr>
        <w:widowControl w:val="0"/>
        <w:jc w:val="both"/>
        <w:rPr>
          <w:rFonts w:ascii="Times New Roman" w:hAnsi="Times New Roman" w:eastAsia="宋体" w:cs="Times New Roman"/>
          <w:kern w:val="2"/>
          <w:sz w:val="10"/>
          <w:szCs w:val="24"/>
          <w:lang w:val="en-US" w:eastAsia="zh-CN" w:bidi="ar-SA"/>
        </w:rPr>
      </w:pPr>
    </w:p>
    <w:p w14:paraId="7D5EB474">
      <w:pPr>
        <w:widowControl w:val="0"/>
        <w:ind w:firstLine="643" w:firstLineChars="200"/>
        <w:jc w:val="both"/>
        <w:rPr>
          <w:rFonts w:ascii="黑体" w:hAnsi="黑体" w:eastAsia="黑体" w:cs="Times New Roman"/>
          <w:b/>
          <w:kern w:val="2"/>
          <w:sz w:val="32"/>
          <w:szCs w:val="36"/>
          <w:lang w:val="en-US" w:eastAsia="zh-CN" w:bidi="ar-SA"/>
        </w:rPr>
      </w:pPr>
      <w:r>
        <w:rPr>
          <w:rFonts w:hint="eastAsia" w:ascii="黑体" w:hAnsi="黑体" w:eastAsia="黑体" w:cs="Times New Roman"/>
          <w:b/>
          <w:kern w:val="2"/>
          <w:sz w:val="32"/>
          <w:szCs w:val="36"/>
          <w:lang w:val="en-US" w:eastAsia="zh-CN" w:bidi="ar-SA"/>
        </w:rPr>
        <w:t>题目：</w:t>
      </w:r>
      <w:r>
        <w:rPr>
          <w:rFonts w:hint="eastAsia" w:ascii="黑体" w:hAnsi="黑体" w:eastAsia="黑体" w:cs="Times New Roman"/>
          <w:b/>
          <w:kern w:val="2"/>
          <w:sz w:val="32"/>
          <w:szCs w:val="32"/>
          <w:lang w:val="en-US" w:eastAsia="zh-CN" w:bidi="ar-SA"/>
        </w:rPr>
        <w:t>处理器微架构侧信道漏洞安全测试技术研究</w:t>
      </w:r>
    </w:p>
    <w:p w14:paraId="31D0A85A">
      <w:pPr>
        <w:widowControl w:val="0"/>
        <w:jc w:val="both"/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</w:p>
    <w:p w14:paraId="0F3FAEB1">
      <w:pPr>
        <w:widowControl w:val="0"/>
        <w:jc w:val="both"/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</w:p>
    <w:p w14:paraId="61D2F90B">
      <w:pPr>
        <w:widowControl w:val="0"/>
        <w:jc w:val="both"/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</w:p>
    <w:p w14:paraId="31E55D31">
      <w:pPr>
        <w:widowControl w:val="0"/>
        <w:ind w:firstLine="2249" w:firstLineChars="700"/>
        <w:jc w:val="both"/>
        <w:rPr>
          <w:rFonts w:ascii="Times New Roman" w:hAnsi="Times New Roman" w:eastAsia="宋体" w:cs="Times New Roman"/>
          <w:b/>
          <w:kern w:val="2"/>
          <w:sz w:val="32"/>
          <w:szCs w:val="24"/>
          <w:u w:val="singl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kern w:val="2"/>
          <w:sz w:val="32"/>
          <w:szCs w:val="24"/>
          <w:lang w:val="en-US" w:eastAsia="zh-CN" w:bidi="ar-SA"/>
        </w:rPr>
        <w:t>学    院</w:t>
      </w:r>
      <w:r>
        <w:rPr>
          <w:rFonts w:hint="eastAsia" w:ascii="Times New Roman" w:hAnsi="Times New Roman" w:eastAsia="宋体" w:cs="Times New Roman"/>
          <w:b/>
          <w:kern w:val="2"/>
          <w:sz w:val="32"/>
          <w:szCs w:val="24"/>
          <w:u w:val="single"/>
          <w:lang w:val="en-US" w:eastAsia="zh-CN" w:bidi="ar-SA"/>
        </w:rPr>
        <w:t xml:space="preserve">  智能与计算学部  </w:t>
      </w:r>
    </w:p>
    <w:p w14:paraId="4E264DA2">
      <w:pPr>
        <w:widowControl w:val="0"/>
        <w:ind w:firstLine="2249" w:firstLineChars="700"/>
        <w:jc w:val="both"/>
        <w:rPr>
          <w:rFonts w:hint="eastAsia" w:ascii="Times New Roman" w:hAnsi="Times New Roman" w:eastAsia="宋体" w:cs="Times New Roman"/>
          <w:b/>
          <w:kern w:val="2"/>
          <w:sz w:val="32"/>
          <w:szCs w:val="24"/>
          <w:u w:val="singl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kern w:val="2"/>
          <w:sz w:val="32"/>
          <w:szCs w:val="24"/>
          <w:lang w:val="en-US" w:eastAsia="zh-CN" w:bidi="ar-SA"/>
        </w:rPr>
        <w:t>专    业</w:t>
      </w:r>
      <w:r>
        <w:rPr>
          <w:rFonts w:hint="eastAsia" w:ascii="Times New Roman" w:hAnsi="Times New Roman" w:eastAsia="宋体" w:cs="Times New Roman"/>
          <w:b/>
          <w:kern w:val="2"/>
          <w:sz w:val="32"/>
          <w:szCs w:val="24"/>
          <w:u w:val="single"/>
          <w:lang w:val="en-US" w:eastAsia="zh-CN" w:bidi="ar-SA"/>
        </w:rPr>
        <w:t xml:space="preserve">     软件工程     </w:t>
      </w:r>
    </w:p>
    <w:p w14:paraId="74B56720">
      <w:pPr>
        <w:widowControl w:val="0"/>
        <w:ind w:firstLine="2249" w:firstLineChars="700"/>
        <w:jc w:val="both"/>
        <w:rPr>
          <w:rFonts w:hint="default" w:ascii="Times New Roman" w:hAnsi="Times New Roman" w:eastAsia="宋体" w:cs="Times New Roman"/>
          <w:b/>
          <w:kern w:val="2"/>
          <w:sz w:val="32"/>
          <w:szCs w:val="24"/>
          <w:u w:val="singl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kern w:val="2"/>
          <w:sz w:val="32"/>
          <w:szCs w:val="24"/>
          <w:lang w:val="en-US" w:eastAsia="zh-CN" w:bidi="ar-SA"/>
        </w:rPr>
        <w:t>年    级</w:t>
      </w:r>
      <w:r>
        <w:rPr>
          <w:rFonts w:hint="eastAsia" w:ascii="Times New Roman" w:hAnsi="Times New Roman" w:eastAsia="宋体" w:cs="Times New Roman"/>
          <w:b/>
          <w:kern w:val="2"/>
          <w:sz w:val="32"/>
          <w:szCs w:val="24"/>
          <w:u w:val="single"/>
          <w:lang w:val="en-US" w:eastAsia="zh-CN" w:bidi="ar-SA"/>
        </w:rPr>
        <w:t xml:space="preserve">     2022级      </w:t>
      </w:r>
    </w:p>
    <w:p w14:paraId="183E0D11">
      <w:pPr>
        <w:widowControl w:val="0"/>
        <w:ind w:firstLine="2249" w:firstLineChars="700"/>
        <w:jc w:val="both"/>
        <w:rPr>
          <w:rFonts w:hint="default" w:ascii="Times New Roman" w:hAnsi="Times New Roman" w:eastAsia="宋体" w:cs="Times New Roman"/>
          <w:b/>
          <w:kern w:val="2"/>
          <w:sz w:val="32"/>
          <w:szCs w:val="24"/>
          <w:u w:val="singl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kern w:val="2"/>
          <w:sz w:val="32"/>
          <w:szCs w:val="24"/>
          <w:lang w:val="en-US" w:eastAsia="zh-CN" w:bidi="ar-SA"/>
        </w:rPr>
        <w:t>姓    名</w:t>
      </w:r>
      <w:r>
        <w:rPr>
          <w:rFonts w:hint="eastAsia" w:ascii="Times New Roman" w:hAnsi="Times New Roman" w:eastAsia="宋体" w:cs="Times New Roman"/>
          <w:b/>
          <w:kern w:val="2"/>
          <w:sz w:val="32"/>
          <w:szCs w:val="24"/>
          <w:u w:val="single"/>
          <w:lang w:val="en-US" w:eastAsia="zh-CN" w:bidi="ar-SA"/>
        </w:rPr>
        <w:t xml:space="preserve">     杨宇鑫       </w:t>
      </w:r>
    </w:p>
    <w:p w14:paraId="3D6BA342">
      <w:pPr>
        <w:widowControl w:val="0"/>
        <w:ind w:firstLine="2249" w:firstLineChars="700"/>
        <w:jc w:val="both"/>
        <w:rPr>
          <w:rFonts w:hint="default" w:ascii="Times New Roman" w:hAnsi="Times New Roman" w:eastAsia="宋体" w:cs="Times New Roman"/>
          <w:b/>
          <w:kern w:val="2"/>
          <w:sz w:val="32"/>
          <w:szCs w:val="24"/>
          <w:u w:val="singl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kern w:val="2"/>
          <w:sz w:val="32"/>
          <w:szCs w:val="24"/>
          <w:lang w:val="en-US" w:eastAsia="zh-CN" w:bidi="ar-SA"/>
        </w:rPr>
        <w:t>学    号</w:t>
      </w:r>
      <w:r>
        <w:rPr>
          <w:rFonts w:hint="eastAsia" w:ascii="Times New Roman" w:hAnsi="Times New Roman" w:eastAsia="宋体" w:cs="Times New Roman"/>
          <w:b/>
          <w:kern w:val="2"/>
          <w:sz w:val="32"/>
          <w:szCs w:val="24"/>
          <w:u w:val="single"/>
          <w:lang w:val="en-US" w:eastAsia="zh-CN" w:bidi="ar-SA"/>
        </w:rPr>
        <w:t xml:space="preserve">    3022207128    </w:t>
      </w:r>
    </w:p>
    <w:p w14:paraId="4EC0B104">
      <w:pPr>
        <w:widowControl w:val="0"/>
        <w:ind w:firstLine="2249" w:firstLineChars="700"/>
        <w:jc w:val="both"/>
        <w:rPr>
          <w:rFonts w:hint="eastAsia" w:ascii="Times New Roman" w:hAnsi="Times New Roman" w:eastAsia="宋体" w:cs="Times New Roman"/>
          <w:b/>
          <w:kern w:val="2"/>
          <w:sz w:val="32"/>
          <w:szCs w:val="24"/>
          <w:u w:val="singl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kern w:val="2"/>
          <w:sz w:val="32"/>
          <w:szCs w:val="24"/>
          <w:lang w:val="en-US" w:eastAsia="zh-CN" w:bidi="ar-SA"/>
        </w:rPr>
        <w:t>指导教师</w:t>
      </w:r>
      <w:r>
        <w:rPr>
          <w:rFonts w:hint="eastAsia" w:ascii="Times New Roman" w:hAnsi="Times New Roman" w:eastAsia="宋体" w:cs="Times New Roman"/>
          <w:b/>
          <w:kern w:val="2"/>
          <w:sz w:val="32"/>
          <w:szCs w:val="24"/>
          <w:u w:val="single"/>
          <w:lang w:val="en-US" w:eastAsia="zh-CN" w:bidi="ar-SA"/>
        </w:rPr>
        <w:t xml:space="preserve">     鲁赵骏       </w:t>
      </w:r>
    </w:p>
    <w:p w14:paraId="3994720A">
      <w:pPr>
        <w:jc w:val="center"/>
        <w:rPr>
          <w:b/>
        </w:rPr>
      </w:pPr>
    </w:p>
    <w:p w14:paraId="55D9D7A4">
      <w:pPr>
        <w:jc w:val="center"/>
        <w:rPr>
          <w:b/>
        </w:rPr>
      </w:pPr>
    </w:p>
    <w:p w14:paraId="36746604">
      <w:pPr>
        <w:jc w:val="center"/>
        <w:rPr>
          <w:b/>
        </w:rPr>
      </w:pPr>
    </w:p>
    <w:p w14:paraId="7AD016C4">
      <w:pPr>
        <w:jc w:val="center"/>
        <w:rPr>
          <w:b/>
        </w:rPr>
      </w:pPr>
    </w:p>
    <w:p w14:paraId="6617C767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课题的来源及意义</w:t>
      </w:r>
    </w:p>
    <w:p w14:paraId="1A6A6E97">
      <w:pPr>
        <w:pStyle w:val="11"/>
      </w:pPr>
      <w:r>
        <w:t>本课题来源于计算机系统安全领域的实际需求。随着云计算和多核处理器的广泛应用，处理器微架构侧信道攻击已成为信息安全领域的重要威胁。本课题聚焦Intel主流处理器平台，面向已有公开漏洞的复现与验证，系统研究不同架构下的侧信道安全特性。研究内容基于202</w:t>
      </w:r>
      <w:r>
        <w:rPr>
          <w:rFonts w:hint="eastAsia"/>
          <w:lang w:val="en-US" w:eastAsia="zh-CN"/>
        </w:rPr>
        <w:t>5</w:t>
      </w:r>
      <w:r>
        <w:t>年S&amp;P发表的VMSCAPE论文，结合经典侧信道案例，开展跨平台的安全测试与对比分析。</w:t>
      </w:r>
    </w:p>
    <w:p w14:paraId="4CF92036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国内外发展状况</w:t>
      </w:r>
    </w:p>
    <w:p w14:paraId="58C81930">
      <w:pPr>
        <w:pStyle w:val="3"/>
        <w:numPr>
          <w:ilvl w:val="0"/>
          <w:numId w:val="2"/>
        </w:numPr>
        <w:ind w:left="0" w:leftChars="0" w:firstLine="0" w:firstLineChars="0"/>
        <w:rPr>
          <w:b w:val="0"/>
        </w:rPr>
      </w:pPr>
      <w:r>
        <w:t>国外发展状况：</w:t>
      </w:r>
    </w:p>
    <w:p w14:paraId="7A552C8A">
      <w:pPr>
        <w:pStyle w:val="11"/>
      </w:pPr>
      <w:r>
        <w:t>自2005年首次提出缓存侧信道攻击以来，国外学者在该领域开展了大量研究。Flush+Relad（2013年）、Spectre（2018年）等攻击技术的提出，推动了侧信道攻击技术的快速发展。</w:t>
      </w:r>
    </w:p>
    <w:p w14:paraId="38691A5F">
      <w:pPr>
        <w:pStyle w:val="11"/>
      </w:pPr>
      <w:r>
        <w:t>Intel平台因其市场占有率高，成为侧信道攻击研究的主要目标。已有大量针对Intel处理器的侧信道漏洞被发现和分析，如Meltdwn、L1TF等。</w:t>
      </w:r>
    </w:p>
    <w:p w14:paraId="5F63D60D">
      <w:pPr>
        <w:pStyle w:val="11"/>
      </w:pPr>
      <w:r>
        <w:t>部分研究开始关注不同处理器架构的侧信道特性对比，分析架构设计差异对攻击效果的影响。</w:t>
      </w:r>
    </w:p>
    <w:p w14:paraId="5F7676A6">
      <w:pPr>
        <w:pStyle w:val="11"/>
      </w:pPr>
      <w:r>
        <w:t>Intel处理器厂商通过微码更新、固件升级等方式不断加强处理器安全性。学术界也提出了多种软件层面的缓解措施，如缓存隔离、编译优化等。</w:t>
      </w:r>
    </w:p>
    <w:p w14:paraId="183A9F84">
      <w:pPr>
        <w:pStyle w:val="3"/>
        <w:numPr>
          <w:ilvl w:val="0"/>
          <w:numId w:val="2"/>
        </w:numPr>
        <w:ind w:left="0" w:leftChars="0" w:firstLine="0" w:firstLineChars="0"/>
        <w:rPr>
          <w:b w:val="0"/>
        </w:rPr>
      </w:pPr>
      <w:bookmarkStart w:id="0" w:name="_GoBack"/>
      <w:bookmarkEnd w:id="0"/>
      <w:r>
        <w:t>国内发展状况：</w:t>
      </w:r>
    </w:p>
    <w:p w14:paraId="2BE3F6B9">
      <w:pPr>
        <w:pStyle w:val="11"/>
      </w:pPr>
      <w:r>
        <w:t>国内在侧信道攻击领域的研究相对滞后，但近年来发展迅速。部分高校和科研机构已开始关注处理器微架构侧信道安全问题。</w:t>
      </w:r>
    </w:p>
    <w:p w14:paraId="35EAC292">
      <w:pPr>
        <w:pStyle w:val="11"/>
      </w:pPr>
      <w:r>
        <w:t>国内研究主要集中在Intel平台的漏洞分析和复现。</w:t>
      </w:r>
    </w:p>
    <w:p w14:paraId="78F6BECA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研究目标、研究内容与研究方法</w:t>
      </w:r>
    </w:p>
    <w:p w14:paraId="34669236">
      <w:pPr>
        <w:pStyle w:val="3"/>
        <w:numPr>
          <w:ilvl w:val="0"/>
          <w:numId w:val="3"/>
        </w:numPr>
        <w:ind w:left="0" w:leftChars="0" w:firstLine="0" w:firstLineChars="0"/>
        <w:rPr>
          <w:b w:val="0"/>
        </w:rPr>
      </w:pPr>
      <w:r>
        <w:t>研究目标：</w:t>
      </w:r>
    </w:p>
    <w:p w14:paraId="75B18C3D">
      <w:pPr>
        <w:pStyle w:val="11"/>
      </w:pPr>
      <w:r>
        <w:t>跨平台数据采集与分析：使用高精度计时和性能计数器，收集平台的侧信道攻击数据，分析攻击特征和影响因素的差异。</w:t>
      </w:r>
    </w:p>
    <w:p w14:paraId="4050D0AB">
      <w:pPr>
        <w:pStyle w:val="11"/>
      </w:pPr>
      <w:r>
        <w:t>量化评估与对比：设计统一的评测指标，量化平台的攻击泄露带宽、命中率、信噪比以及跨核/跨进程可迁移性，并进行对比分析。</w:t>
      </w:r>
    </w:p>
    <w:p w14:paraId="36BB27F3">
      <w:pPr>
        <w:pStyle w:val="11"/>
      </w:pPr>
      <w:r>
        <w:t>缓解措施验证与对比：测试常见缓解措施（如隔离策略、缓存冲洗、编译器优化、微码更新等）在平台上的效果，对比实施前后的差异。</w:t>
      </w:r>
    </w:p>
    <w:p w14:paraId="6683382D">
      <w:pPr>
        <w:pStyle w:val="3"/>
        <w:numPr>
          <w:ilvl w:val="0"/>
          <w:numId w:val="3"/>
        </w:numPr>
        <w:ind w:left="0" w:leftChars="0" w:firstLine="0" w:firstLineChars="0"/>
        <w:rPr>
          <w:b w:val="0"/>
        </w:rPr>
      </w:pPr>
      <w:r>
        <w:t>研究内容：</w:t>
      </w:r>
    </w:p>
    <w:p w14:paraId="4790C906">
      <w:pPr>
        <w:pStyle w:val="4"/>
      </w:pPr>
      <w:r>
        <w:t>侧信道威胁模型分析：</w:t>
      </w:r>
    </w:p>
    <w:p w14:paraId="21D5CE9E">
      <w:pPr>
        <w:pStyle w:val="11"/>
        <w:numPr>
          <w:ilvl w:val="0"/>
          <w:numId w:val="4"/>
        </w:numPr>
        <w:ind w:left="0" w:leftChars="0" w:firstLine="480" w:firstLineChars="0"/>
        <w:rPr>
          <w:rFonts w:hint="eastAsia" w:ascii="宋体" w:hAnsi="宋体" w:eastAsia="宋体" w:cs="宋体"/>
          <w:b w:val="0"/>
        </w:rPr>
      </w:pPr>
      <w:r>
        <w:t>梳理Intel处理器的微架构特点，对比分支预测器、缓存系统等与侧信道相关组件的设计差异。</w:t>
      </w:r>
    </w:p>
    <w:p w14:paraId="70FE7F26">
      <w:pPr>
        <w:pStyle w:val="11"/>
        <w:numPr>
          <w:ilvl w:val="0"/>
          <w:numId w:val="4"/>
        </w:numPr>
        <w:ind w:left="0" w:leftChars="0" w:firstLine="480" w:firstLineChars="0"/>
        <w:rPr>
          <w:rFonts w:hint="eastAsia" w:ascii="宋体" w:hAnsi="宋体" w:eastAsia="宋体" w:cs="宋体"/>
          <w:b w:val="0"/>
        </w:rPr>
      </w:pPr>
      <w:r>
        <w:t>分析Flush+Relad和Spectre-BTI攻击在平台上的威胁模型和攻击前提</w:t>
      </w:r>
      <w:r>
        <w:rPr>
          <w:rFonts w:hint="eastAsia"/>
          <w:lang w:eastAsia="zh-CN"/>
        </w:rPr>
        <w:t>。</w:t>
      </w:r>
    </w:p>
    <w:p w14:paraId="34747861">
      <w:pPr>
        <w:pStyle w:val="4"/>
      </w:pPr>
      <w:r>
        <w:t>跨平台实验环境搭建：</w:t>
      </w:r>
    </w:p>
    <w:p w14:paraId="14987E30">
      <w:pPr>
        <w:pStyle w:val="11"/>
        <w:numPr>
          <w:ilvl w:val="0"/>
          <w:numId w:val="5"/>
        </w:numPr>
        <w:ind w:left="0" w:leftChars="0" w:firstLine="480" w:firstLineChars="0"/>
        <w:rPr>
          <w:rFonts w:hint="eastAsia" w:ascii="宋体" w:hAnsi="宋体" w:eastAsia="宋体" w:cs="宋体"/>
          <w:b w:val="0"/>
        </w:rPr>
      </w:pPr>
      <w:r>
        <w:t>搭建基于Intel处理器的Linux测试环境。</w:t>
      </w:r>
    </w:p>
    <w:p w14:paraId="72EBD2C0">
      <w:pPr>
        <w:pStyle w:val="11"/>
        <w:numPr>
          <w:ilvl w:val="0"/>
          <w:numId w:val="5"/>
        </w:numPr>
        <w:ind w:left="0" w:leftChars="0" w:firstLine="480" w:firstLineChars="0"/>
        <w:rPr>
          <w:rFonts w:hint="eastAsia" w:ascii="宋体" w:hAnsi="宋体" w:eastAsia="宋体" w:cs="宋体"/>
          <w:b w:val="0"/>
        </w:rPr>
      </w:pPr>
      <w:r>
        <w:t>配置高精度计时工具和性能计数器，确保跨平台测试的一致性。</w:t>
      </w:r>
    </w:p>
    <w:p w14:paraId="24C19245">
      <w:pPr>
        <w:pStyle w:val="11"/>
        <w:numPr>
          <w:ilvl w:val="0"/>
          <w:numId w:val="5"/>
        </w:numPr>
        <w:ind w:left="0" w:leftChars="0" w:firstLine="480" w:firstLineChars="0"/>
        <w:rPr>
          <w:rFonts w:hint="eastAsia" w:ascii="宋体" w:hAnsi="宋体" w:eastAsia="宋体" w:cs="宋体"/>
          <w:b w:val="0"/>
        </w:rPr>
      </w:pPr>
      <w:r>
        <w:t>基于VMSCAPE论文和开源代码，实现跨平台的攻击原型。</w:t>
      </w:r>
    </w:p>
    <w:p w14:paraId="10851D7C">
      <w:pPr>
        <w:pStyle w:val="4"/>
      </w:pPr>
      <w:r>
        <w:t>Flush+Relad攻击复现与跨平台对比：</w:t>
      </w:r>
    </w:p>
    <w:p w14:paraId="45CA7A59">
      <w:pPr>
        <w:pStyle w:val="11"/>
        <w:numPr>
          <w:ilvl w:val="0"/>
          <w:numId w:val="5"/>
        </w:numPr>
        <w:ind w:left="0" w:leftChars="0" w:firstLine="480" w:firstLineChars="0"/>
        <w:rPr>
          <w:rFonts w:hint="eastAsia" w:ascii="宋体" w:hAnsi="宋体" w:eastAsia="宋体" w:cs="宋体"/>
          <w:b w:val="0"/>
        </w:rPr>
      </w:pPr>
      <w:r>
        <w:t>在平台上实现Flush+Relad攻击的核心逻辑，包括缓存冲洗、内存访问时间测量等。</w:t>
      </w:r>
    </w:p>
    <w:p w14:paraId="44662FEF">
      <w:pPr>
        <w:pStyle w:val="11"/>
        <w:numPr>
          <w:ilvl w:val="0"/>
          <w:numId w:val="5"/>
        </w:numPr>
        <w:ind w:left="0" w:leftChars="0" w:firstLine="480" w:firstLineChars="0"/>
        <w:rPr>
          <w:rFonts w:hint="eastAsia" w:ascii="宋体" w:hAnsi="宋体" w:eastAsia="宋体" w:cs="宋体"/>
          <w:b w:val="0"/>
        </w:rPr>
      </w:pPr>
      <w:r>
        <w:t>测试不同参数（如槽位数、测量阈值等）对攻击效果的影响，对比平台的差异。</w:t>
      </w:r>
    </w:p>
    <w:p w14:paraId="78C2472C">
      <w:pPr>
        <w:pStyle w:val="11"/>
        <w:numPr>
          <w:ilvl w:val="0"/>
          <w:numId w:val="5"/>
        </w:numPr>
        <w:ind w:left="0" w:leftChars="0" w:firstLine="480" w:firstLineChars="0"/>
        <w:rPr>
          <w:rFonts w:hint="eastAsia" w:ascii="宋体" w:hAnsi="宋体" w:eastAsia="宋体" w:cs="宋体"/>
          <w:b w:val="0"/>
        </w:rPr>
      </w:pPr>
      <w:r>
        <w:t>分析攻击的时序特征和成功率，识别平台特定的影响因素。</w:t>
      </w:r>
    </w:p>
    <w:p w14:paraId="09E864A1">
      <w:pPr>
        <w:pStyle w:val="4"/>
      </w:pPr>
      <w:r>
        <w:t>Spectre-BTI攻击复现与跨平台对比：</w:t>
      </w:r>
    </w:p>
    <w:p w14:paraId="512B43BD">
      <w:pPr>
        <w:pStyle w:val="11"/>
        <w:numPr>
          <w:ilvl w:val="0"/>
          <w:numId w:val="5"/>
        </w:numPr>
        <w:ind w:left="0" w:leftChars="0" w:firstLine="480" w:firstLineChars="0"/>
        <w:rPr>
          <w:rFonts w:hint="eastAsia" w:ascii="宋体" w:hAnsi="宋体" w:eastAsia="宋体" w:cs="宋体"/>
          <w:b w:val="0"/>
        </w:rPr>
      </w:pPr>
      <w:r>
        <w:t>基于VMSCAPE论文，在平台上实现Spectre-BTI攻击的原型。</w:t>
      </w:r>
    </w:p>
    <w:p w14:paraId="4C967AF7">
      <w:pPr>
        <w:pStyle w:val="11"/>
        <w:numPr>
          <w:ilvl w:val="0"/>
          <w:numId w:val="5"/>
        </w:numPr>
        <w:ind w:left="0" w:leftChars="0" w:firstLine="480" w:firstLineChars="0"/>
        <w:rPr>
          <w:rFonts w:hint="eastAsia" w:ascii="宋体" w:hAnsi="宋体" w:eastAsia="宋体" w:cs="宋体"/>
          <w:b w:val="0"/>
        </w:rPr>
      </w:pPr>
      <w:r>
        <w:t>测试攻击在不同型号Intel处理器上的效果，分析架构差异对攻击的影响。</w:t>
      </w:r>
    </w:p>
    <w:p w14:paraId="0C88B7E4">
      <w:pPr>
        <w:pStyle w:val="11"/>
        <w:numPr>
          <w:ilvl w:val="0"/>
          <w:numId w:val="5"/>
        </w:numPr>
        <w:ind w:left="0" w:leftChars="0" w:firstLine="480" w:firstLineChars="0"/>
        <w:rPr>
          <w:rFonts w:hint="eastAsia" w:ascii="宋体" w:hAnsi="宋体" w:eastAsia="宋体" w:cs="宋体"/>
          <w:b w:val="0"/>
        </w:rPr>
      </w:pPr>
      <w:r>
        <w:t>对比平台上分支目标注入的机制和影响因素。</w:t>
      </w:r>
    </w:p>
    <w:p w14:paraId="57EE4A2F">
      <w:pPr>
        <w:pStyle w:val="4"/>
      </w:pPr>
      <w:r>
        <w:t>跨平台评测指标设计与实现：</w:t>
      </w:r>
    </w:p>
    <w:p w14:paraId="6372D1D6">
      <w:pPr>
        <w:pStyle w:val="11"/>
        <w:numPr>
          <w:ilvl w:val="0"/>
          <w:numId w:val="6"/>
        </w:numPr>
        <w:ind w:left="0" w:leftChars="0" w:firstLine="480" w:firstLineChars="0"/>
        <w:rPr>
          <w:rFonts w:hint="eastAsia" w:ascii="宋体" w:hAnsi="宋体" w:eastAsia="宋体" w:cs="宋体"/>
          <w:b w:val="0"/>
        </w:rPr>
      </w:pPr>
      <w:r>
        <w:t>设计统一的泄露带宽、命中率、信噪比等量化指标，确保跨平台对比的公平性。</w:t>
      </w:r>
    </w:p>
    <w:p w14:paraId="1E92DF3E">
      <w:pPr>
        <w:pStyle w:val="11"/>
        <w:numPr>
          <w:ilvl w:val="0"/>
          <w:numId w:val="6"/>
        </w:numPr>
        <w:ind w:left="0" w:leftChars="0" w:firstLine="480" w:firstLineChars="0"/>
        <w:rPr>
          <w:rFonts w:hint="eastAsia" w:ascii="宋体" w:hAnsi="宋体" w:eastAsia="宋体" w:cs="宋体"/>
          <w:b w:val="0"/>
        </w:rPr>
      </w:pPr>
      <w:r>
        <w:t>开发跨平台数据采集和分析脚本，生成可视化图表，直观展示平台的攻击效果差异。</w:t>
      </w:r>
    </w:p>
    <w:p w14:paraId="31F12F59">
      <w:pPr>
        <w:pStyle w:val="3"/>
        <w:numPr>
          <w:ilvl w:val="0"/>
          <w:numId w:val="3"/>
        </w:numPr>
        <w:ind w:left="0" w:leftChars="0" w:firstLine="0" w:firstLineChars="0"/>
        <w:rPr>
          <w:b w:val="0"/>
        </w:rPr>
      </w:pPr>
      <w:r>
        <w:t>研究方法：</w:t>
      </w:r>
    </w:p>
    <w:p w14:paraId="75D01DD8">
      <w:pPr>
        <w:pStyle w:val="11"/>
      </w:pPr>
      <w:r>
        <w:t>文献研究法：系统阅读VMSCAPE论文及相关文献，了解侧信道攻击的理论基础和最新进展，特别是跨平台对比研究。</w:t>
      </w:r>
    </w:p>
    <w:p w14:paraId="7B1A49CE">
      <w:pPr>
        <w:pStyle w:val="11"/>
      </w:pPr>
      <w:r>
        <w:t>实验法：在Intel处理器平台上搭建测试环境，复现侧信道攻击，收集实验数据，进行对比分析。</w:t>
      </w:r>
    </w:p>
    <w:p w14:paraId="4D0AB366">
      <w:pPr>
        <w:pStyle w:val="11"/>
      </w:pPr>
      <w:r>
        <w:t>量化评估法：使用设计的评测指标，对平台的攻击效果和缓解措施的有效性进行量化评估和对比。</w:t>
      </w:r>
    </w:p>
    <w:p w14:paraId="549B2E16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进度安排</w:t>
      </w:r>
    </w:p>
    <w:p w14:paraId="51A6EB5D">
      <w:pPr>
        <w:pStyle w:val="11"/>
        <w:numPr>
          <w:ilvl w:val="0"/>
          <w:numId w:val="0"/>
        </w:numPr>
      </w:pPr>
      <w:r>
        <w:t>2026.01.30前：完成开题报告撰写与提交。开题报告通过指导教师审核，上传至毕设管理系统。</w:t>
      </w:r>
    </w:p>
    <w:p w14:paraId="7050A458">
      <w:pPr>
        <w:pStyle w:val="11"/>
        <w:numPr>
          <w:ilvl w:val="0"/>
          <w:numId w:val="0"/>
        </w:numPr>
      </w:pPr>
      <w:r>
        <w:t>2026.02.01-2026.02.20：搭建Intel平台实验环境。成功搭建Linux测试环境，配置好必要的工具和库。</w:t>
      </w:r>
    </w:p>
    <w:p w14:paraId="41741C42">
      <w:pPr>
        <w:pStyle w:val="11"/>
        <w:numPr>
          <w:ilvl w:val="0"/>
          <w:numId w:val="0"/>
        </w:numPr>
      </w:pPr>
      <w:r>
        <w:t>2026.02.21-2026.03.10：复现Flush+Relad攻击（两平台）。在平台上实现攻击原型，成功收集侧信道数据。</w:t>
      </w:r>
    </w:p>
    <w:p w14:paraId="4A7803EF">
      <w:pPr>
        <w:pStyle w:val="11"/>
        <w:numPr>
          <w:ilvl w:val="0"/>
          <w:numId w:val="0"/>
        </w:numPr>
      </w:pPr>
      <w:r>
        <w:t>2026.03.11-2026.03.31：复现Spectre-BTI攻击（两平台）。基于VMSCAPE论文实现攻击原型，验证攻击在平台上的效果。</w:t>
      </w:r>
    </w:p>
    <w:p w14:paraId="123B1CD3">
      <w:pPr>
        <w:pStyle w:val="11"/>
        <w:numPr>
          <w:ilvl w:val="0"/>
          <w:numId w:val="0"/>
        </w:numPr>
      </w:pPr>
      <w:r>
        <w:t>2026.04.01-2026.04.10：完成中期检查。提交中期检查报告，展示已完成的跨平台实验工作和初步成果。</w:t>
      </w:r>
    </w:p>
    <w:p w14:paraId="6CE6E001">
      <w:pPr>
        <w:pStyle w:val="11"/>
        <w:numPr>
          <w:ilvl w:val="0"/>
          <w:numId w:val="0"/>
        </w:numPr>
      </w:pPr>
      <w:r>
        <w:t>2026.04.11-2026.04.30：设计并实现跨平台评测指标。开发数据采集和分析脚本，生成量化结果和可视化对比图表。</w:t>
      </w:r>
    </w:p>
    <w:p w14:paraId="4022EE82">
      <w:pPr>
        <w:pStyle w:val="11"/>
        <w:numPr>
          <w:ilvl w:val="0"/>
          <w:numId w:val="0"/>
        </w:numPr>
      </w:pPr>
      <w:r>
        <w:t>2026.05.01-2026.05.15：验证缓解措施效果。测试并分析各种缓解措施在平台上的有效性差异。</w:t>
      </w:r>
    </w:p>
    <w:p w14:paraId="382EB264">
      <w:pPr>
        <w:pStyle w:val="11"/>
        <w:numPr>
          <w:ilvl w:val="0"/>
          <w:numId w:val="0"/>
        </w:numPr>
      </w:pPr>
      <w:r>
        <w:t>2026.05.16-2026.05.25：完成论文撰写与提交。论文通过指导教师审核，上传至毕设管理系统。</w:t>
      </w:r>
    </w:p>
    <w:p w14:paraId="42CF1D10">
      <w:pPr>
        <w:pStyle w:val="11"/>
        <w:numPr>
          <w:ilvl w:val="0"/>
          <w:numId w:val="0"/>
        </w:numPr>
      </w:pPr>
      <w:r>
        <w:t>2026.05.26-2026.06.06：准备答辩材料。制作答辩PPT，准备跨平台演示环境。</w:t>
      </w:r>
    </w:p>
    <w:p w14:paraId="39B41AC5">
      <w:pPr>
        <w:pStyle w:val="11"/>
        <w:numPr>
          <w:ilvl w:val="0"/>
          <w:numId w:val="0"/>
        </w:numPr>
      </w:pPr>
      <w:r>
        <w:t>2026.06.07前：完成答辩并提交成绩。答辩通过，提交最终成绩。</w:t>
      </w:r>
    </w:p>
    <w:p w14:paraId="7838E12D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研究或实验方案的可行性分析</w:t>
      </w:r>
    </w:p>
    <w:p w14:paraId="47AC04EB">
      <w:pPr>
        <w:pStyle w:val="3"/>
        <w:numPr>
          <w:ilvl w:val="0"/>
          <w:numId w:val="7"/>
        </w:numPr>
        <w:ind w:left="0" w:leftChars="0" w:firstLine="0" w:firstLineChars="0"/>
        <w:rPr>
          <w:b w:val="0"/>
        </w:rPr>
      </w:pPr>
      <w:r>
        <w:t>技术可行性：</w:t>
      </w:r>
    </w:p>
    <w:p w14:paraId="16C1B87F">
      <w:pPr>
        <w:pStyle w:val="11"/>
      </w:pPr>
      <w:r>
        <w:t>硬件平台：Intel处理器在市场上广泛可用，实验所需的硬件环境容易搭建。可选择多种型号的处理器进行测试，确保结果的通用性。</w:t>
      </w:r>
    </w:p>
    <w:p w14:paraId="3FD5C8BD">
      <w:pPr>
        <w:pStyle w:val="11"/>
      </w:pPr>
      <w:r>
        <w:t>软件工具：Linux操作系统提供了丰富的系统接口和工具，支持高精度计时和性能计数器的使用。VMSCAPE论文及相关文献提供了详细的攻击实现方法，开源代码也可作为参考。</w:t>
      </w:r>
    </w:p>
    <w:p w14:paraId="02DE8047">
      <w:pPr>
        <w:pStyle w:val="3"/>
        <w:numPr>
          <w:ilvl w:val="0"/>
          <w:numId w:val="7"/>
        </w:numPr>
        <w:ind w:left="0" w:leftChars="0" w:firstLine="0" w:firstLineChars="0"/>
        <w:rPr>
          <w:b w:val="0"/>
        </w:rPr>
      </w:pPr>
      <w:r>
        <w:t>经济可行性：</w:t>
      </w:r>
    </w:p>
    <w:p w14:paraId="631F88D0">
      <w:pPr>
        <w:pStyle w:val="11"/>
      </w:pPr>
      <w:r>
        <w:t>硬件成本：实验仅需要两台分别搭载Intel处理器的计算机，无需特殊硬件设备，硬件成本较低。</w:t>
      </w:r>
    </w:p>
    <w:p w14:paraId="5562BB10">
      <w:pPr>
        <w:pStyle w:val="11"/>
      </w:pPr>
      <w:r>
        <w:t>软件成本：使用的操作系统和工具均为开源软件，无需支付额外费用。</w:t>
      </w:r>
    </w:p>
    <w:p w14:paraId="0C3655AF">
      <w:pPr>
        <w:pStyle w:val="3"/>
        <w:numPr>
          <w:ilvl w:val="0"/>
          <w:numId w:val="7"/>
        </w:numPr>
        <w:ind w:left="0" w:leftChars="0" w:firstLine="0" w:firstLineChars="0"/>
        <w:rPr>
          <w:b w:val="0"/>
        </w:rPr>
      </w:pPr>
      <w:r>
        <w:t>风险分析与应对措施：</w:t>
      </w:r>
    </w:p>
    <w:p w14:paraId="5EB23EFE">
      <w:pPr>
        <w:pStyle w:val="11"/>
      </w:pPr>
      <w:r>
        <w:t>硬件兼容性风险：不同型号的Intel处理器可能存在差异，影响攻击的效果。</w:t>
      </w:r>
    </w:p>
    <w:p w14:paraId="17D9D34C">
      <w:pPr>
        <w:pStyle w:val="11"/>
      </w:pPr>
      <w:r>
        <w:t>应对措施：选择多种型号的处理器进行测试，确保结果的通用性和代表性。</w:t>
      </w:r>
    </w:p>
    <w:p w14:paraId="79AE65D2">
      <w:pPr>
        <w:pStyle w:val="11"/>
      </w:pPr>
      <w:r>
        <w:t>软件环境配置风险：Linux系统版本和配置可能影响实验结果，跨平台配置差异可能导致测试不一致。</w:t>
      </w:r>
    </w:p>
    <w:p w14:paraId="4C9FBCD8">
      <w:pPr>
        <w:pStyle w:val="11"/>
      </w:pPr>
      <w:r>
        <w:t>应对措施：使用标准化的测试环境，记录详细的系统配置信息，确保跨平台测试的一致性。</w:t>
      </w:r>
    </w:p>
    <w:p w14:paraId="31E7E95E">
      <w:pPr>
        <w:pStyle w:val="20"/>
        <w:numPr>
          <w:ilvl w:val="0"/>
          <w:numId w:val="1"/>
        </w:numPr>
        <w:topLinePunct w:val="0"/>
        <w:ind w:left="0" w:leftChars="0" w:firstLine="0" w:firstLineChars="0"/>
        <w:jc w:val="both"/>
        <w:rPr>
          <w:rFonts w:hint="eastAsia" w:ascii="黑体" w:hAnsi="黑体" w:eastAsia="黑体" w:cs="黑体"/>
          <w:b w:val="0"/>
        </w:rPr>
      </w:pPr>
      <w:r>
        <w:t>参考文献</w:t>
      </w:r>
    </w:p>
    <w:p w14:paraId="3E74C3E9">
      <w:pPr>
        <w:spacing w:line="300" w:lineRule="auto"/>
        <w:rPr>
          <w:sz w:val="24"/>
        </w:rPr>
      </w:pPr>
      <w:r>
        <w:rPr>
          <w:rFonts w:hint="eastAsia"/>
          <w:sz w:val="24"/>
        </w:rPr>
        <w:t>[</w:t>
      </w:r>
      <w:r>
        <w:rPr>
          <w:sz w:val="24"/>
        </w:rPr>
        <w:t>1] Graf J C, Ruegge S, Hajiabadi A, et al. VMSCAPE: Exposing and Exploiting Incomplete Branch Predictor Isolation in Cloud Environments[J]. Cited on, 3.</w:t>
      </w:r>
    </w:p>
    <w:p w14:paraId="3B4381DE">
      <w:pPr>
        <w:spacing w:line="300" w:lineRule="auto"/>
        <w:rPr>
          <w:sz w:val="24"/>
        </w:rPr>
      </w:pPr>
      <w:r>
        <w:rPr>
          <w:rFonts w:hint="eastAsia"/>
          <w:sz w:val="24"/>
        </w:rPr>
        <w:t>[</w:t>
      </w:r>
      <w:r>
        <w:rPr>
          <w:sz w:val="24"/>
        </w:rPr>
        <w:t>2] Chiang L C, Li S W. Reload+ Reload: Exploiting Cache and Memory Contention Side Channel on AMD SEV[C]//Proceedings of the 30th ACM International Conference on Architectural Support for Programming Languages and Operating Systems, Volume 2. 2025: 1014-1027.</w:t>
      </w:r>
    </w:p>
    <w:p w14:paraId="61FCCFC1">
      <w:pPr>
        <w:spacing w:line="300" w:lineRule="auto"/>
        <w:rPr>
          <w:sz w:val="24"/>
        </w:rPr>
      </w:pPr>
      <w:r>
        <w:rPr>
          <w:rFonts w:hint="eastAsia"/>
          <w:sz w:val="24"/>
        </w:rPr>
        <w:t>[</w:t>
      </w:r>
      <w:r>
        <w:rPr>
          <w:sz w:val="24"/>
        </w:rPr>
        <w:t>3] Schlüter B, Wech C, Shinde S. Heracles: Chosen plaintext attack on amd sev-snp[C]//Proceedings of the 2025 ACM SIGSAC Conference on Computer and Communications Security. 2025: 3810-3824.</w:t>
      </w:r>
    </w:p>
    <w:p w14:paraId="150FA773">
      <w:pPr>
        <w:spacing w:line="300" w:lineRule="auto"/>
        <w:rPr>
          <w:sz w:val="24"/>
        </w:rPr>
      </w:pPr>
      <w:r>
        <w:rPr>
          <w:rFonts w:hint="eastAsia"/>
          <w:sz w:val="24"/>
        </w:rPr>
        <w:t>[</w:t>
      </w:r>
      <w:r>
        <w:rPr>
          <w:sz w:val="24"/>
        </w:rPr>
        <w:t>4] Muñoz A, Ríos R, Román R, et al. A survey on the (in) security of trusted execution environments[J]. Computers &amp; Security, 2023, 129: 103180.</w:t>
      </w:r>
    </w:p>
    <w:p w14:paraId="74127DF9">
      <w:pPr>
        <w:spacing w:line="300" w:lineRule="auto"/>
        <w:rPr>
          <w:sz w:val="24"/>
        </w:rPr>
      </w:pPr>
      <w:r>
        <w:rPr>
          <w:rFonts w:hint="eastAsia"/>
          <w:sz w:val="24"/>
        </w:rPr>
        <w:t>[</w:t>
      </w:r>
      <w:r>
        <w:rPr>
          <w:sz w:val="24"/>
        </w:rPr>
        <w:t>5] Pashrashid A, Hajiabadi A, Carlson T E. Efficient Detection and Mitigation Schemes for Speculative Side Channels[C]//2024 IEEE International Symposium on Circuits and Systems (ISCAS). IEEE, 2024: 1-5.</w:t>
      </w:r>
    </w:p>
    <w:p w14:paraId="5A55A224">
      <w:pPr>
        <w:pStyle w:val="11"/>
        <w:ind w:left="0" w:leftChars="0" w:firstLine="0" w:firstLineChars="0"/>
      </w:pPr>
      <w:r>
        <w:rPr>
          <w:rFonts w:hint="eastAsia"/>
          <w:lang w:val="en-US" w:eastAsia="zh-CN"/>
        </w:rPr>
        <w:t xml:space="preserve">[6] </w:t>
      </w:r>
      <w:r>
        <w:t>Intel. Intel 64 and IA-32 Architectures Sftware Develper's Manual. 2022.</w:t>
      </w:r>
    </w:p>
    <w:p w14:paraId="7173824B">
      <w:pPr>
        <w:pStyle w:val="11"/>
        <w:ind w:left="0" w:leftChars="0" w:firstLine="0" w:firstLineChars="0"/>
      </w:pPr>
      <w:r>
        <w:rPr>
          <w:rFonts w:hint="eastAsia"/>
          <w:lang w:val="en-US" w:eastAsia="zh-CN"/>
        </w:rPr>
        <w:t xml:space="preserve">[7] </w:t>
      </w:r>
      <w:r>
        <w:t>Intel. Mitigatins fr Speculative Executin Side Channels. 2018.</w:t>
      </w:r>
    </w:p>
    <w:p w14:paraId="55110CAB">
      <w:pPr>
        <w:pStyle w:val="11"/>
        <w:ind w:left="0" w:leftChars="0" w:firstLine="0" w:firstLineChars="0"/>
        <w:rPr>
          <w:rFonts w:hint="eastAsia"/>
          <w:sz w:val="24"/>
        </w:rPr>
      </w:pPr>
      <w:r>
        <w:rPr>
          <w:rFonts w:hint="eastAsia"/>
          <w:lang w:val="en-US" w:eastAsia="zh-CN"/>
        </w:rPr>
        <w:t xml:space="preserve">[8] </w:t>
      </w:r>
      <w:r>
        <w:t>Gruss D, et al. Prefetch Side-Channel Attacks: Bypassing SMAP and Kernel ASLR. USENIX Security Sympsium, 2016.</w:t>
      </w:r>
    </w:p>
    <w:p w14:paraId="5CA874EF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预期成果</w:t>
      </w:r>
    </w:p>
    <w:p w14:paraId="058230F4">
      <w:pPr>
        <w:pStyle w:val="11"/>
        <w:numPr>
          <w:ilvl w:val="0"/>
          <w:numId w:val="8"/>
        </w:numPr>
        <w:ind w:left="-480" w:leftChars="0" w:firstLine="480" w:firstLineChars="0"/>
        <w:rPr>
          <w:b w:val="0"/>
        </w:rPr>
      </w:pPr>
      <w:r>
        <w:rPr>
          <w:b/>
        </w:rPr>
        <w:t>学术成果</w:t>
      </w:r>
      <w:r>
        <w:t>：</w:t>
      </w:r>
    </w:p>
    <w:p w14:paraId="567ABEAD">
      <w:pPr>
        <w:pStyle w:val="11"/>
        <w:numPr>
          <w:ilvl w:val="0"/>
          <w:numId w:val="0"/>
        </w:numPr>
        <w:rPr>
          <w:b w:val="0"/>
        </w:rPr>
      </w:pPr>
      <w:r>
        <w:t>完成一篇详细的毕业设计论文，系统阐述Intel平台侧信道安全问题的对比研究成果。</w:t>
      </w:r>
    </w:p>
    <w:p w14:paraId="4E1594AF">
      <w:pPr>
        <w:pStyle w:val="11"/>
        <w:numPr>
          <w:ilvl w:val="0"/>
          <w:numId w:val="8"/>
        </w:numPr>
        <w:ind w:left="-480" w:leftChars="0" w:firstLine="480" w:firstLineChars="0"/>
        <w:rPr>
          <w:b w:val="0"/>
        </w:rPr>
      </w:pPr>
      <w:r>
        <w:rPr>
          <w:b/>
        </w:rPr>
        <w:t>技术成果</w:t>
      </w:r>
      <w:r>
        <w:t>：</w:t>
      </w:r>
    </w:p>
    <w:p w14:paraId="63B5DE78">
      <w:pPr>
        <w:pStyle w:val="11"/>
        <w:ind w:left="0" w:leftChars="0" w:firstLine="0" w:firstLineChars="0"/>
      </w:pPr>
      <w:r>
        <w:t>实现Flush+Relad和Spectre-BTI攻击的跨平台可复现原型。</w:t>
      </w:r>
    </w:p>
    <w:p w14:paraId="505F20EF">
      <w:pPr>
        <w:pStyle w:val="11"/>
        <w:ind w:left="0" w:leftChars="0" w:firstLine="0" w:firstLineChars="0"/>
      </w:pPr>
      <w:r>
        <w:t>开发跨平台数据采集和分析脚本。</w:t>
      </w:r>
    </w:p>
    <w:p w14:paraId="3AEFA4EC">
      <w:pPr>
        <w:pStyle w:val="11"/>
        <w:ind w:left="0" w:leftChars="0" w:firstLine="0" w:firstLineChars="0"/>
      </w:pPr>
      <w:r>
        <w:t>设计并实现统一的量化评估指标，用于跨平台对比。</w:t>
      </w:r>
    </w:p>
    <w:p w14:paraId="0B87FA45">
      <w:pPr>
        <w:pStyle w:val="11"/>
        <w:ind w:left="0" w:leftChars="0" w:firstLine="0" w:firstLineChars="0"/>
      </w:pPr>
      <w:r>
        <w:t>生成可视化图表，直观展示平台的攻击效果和缓解措施差异。</w:t>
      </w:r>
    </w:p>
    <w:tbl>
      <w:tblPr>
        <w:tblStyle w:val="16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2B27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97" w:hRule="atLeast"/>
          <w:jc w:val="center"/>
        </w:trPr>
        <w:tc>
          <w:tcPr>
            <w:tcW w:w="5000" w:type="pct"/>
          </w:tcPr>
          <w:p w14:paraId="45C1C7C5">
            <w:pPr>
              <w:spacing w:line="360" w:lineRule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选题是否合适： 是□  否□</w:t>
            </w:r>
          </w:p>
          <w:p w14:paraId="698CA36E">
            <w:pPr>
              <w:spacing w:line="360" w:lineRule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课题能否实现： 能□  不能□</w:t>
            </w:r>
          </w:p>
          <w:p w14:paraId="02589DA4">
            <w:pPr>
              <w:spacing w:line="480" w:lineRule="auto"/>
              <w:ind w:firstLine="4320" w:firstLineChars="1800"/>
              <w:rPr>
                <w:sz w:val="24"/>
              </w:rPr>
            </w:pPr>
            <w:r>
              <w:rPr>
                <w:rFonts w:hint="eastAsia"/>
                <w:sz w:val="24"/>
              </w:rPr>
              <w:t>指导教师（签字）</w:t>
            </w:r>
          </w:p>
          <w:p w14:paraId="1BC59C0A">
            <w:pPr>
              <w:spacing w:line="480" w:lineRule="auto"/>
              <w:ind w:firstLine="6240" w:firstLineChars="260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年  </w:t>
            </w:r>
            <w:r>
              <w:rPr>
                <w:rFonts w:hint="eastAsia"/>
                <w:sz w:val="24"/>
                <w:lang w:val="en-US" w:eastAsia="zh-CN"/>
              </w:rPr>
              <w:t xml:space="preserve"> </w:t>
            </w:r>
            <w:r>
              <w:rPr>
                <w:rFonts w:hint="eastAsia"/>
                <w:sz w:val="24"/>
              </w:rPr>
              <w:t xml:space="preserve"> 月  </w:t>
            </w:r>
            <w:r>
              <w:rPr>
                <w:rFonts w:hint="eastAsia"/>
                <w:sz w:val="24"/>
                <w:lang w:val="en-US" w:eastAsia="zh-CN"/>
              </w:rPr>
              <w:t xml:space="preserve"> </w:t>
            </w:r>
            <w:r>
              <w:rPr>
                <w:rFonts w:hint="eastAsia"/>
                <w:sz w:val="24"/>
              </w:rPr>
              <w:t xml:space="preserve"> 日</w:t>
            </w:r>
          </w:p>
        </w:tc>
      </w:tr>
      <w:tr w14:paraId="5A794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87" w:hRule="atLeast"/>
          <w:jc w:val="center"/>
        </w:trPr>
        <w:tc>
          <w:tcPr>
            <w:tcW w:w="5000" w:type="pct"/>
          </w:tcPr>
          <w:p w14:paraId="190BFDB0">
            <w:pPr>
              <w:spacing w:line="360" w:lineRule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选题是否合适： 是□  否□</w:t>
            </w:r>
          </w:p>
          <w:p w14:paraId="071894CE">
            <w:pPr>
              <w:spacing w:line="360" w:lineRule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课题能否实现： 能□  不能□</w:t>
            </w:r>
          </w:p>
          <w:p w14:paraId="1F8A0BC1">
            <w:pPr>
              <w:spacing w:line="480" w:lineRule="auto"/>
              <w:ind w:firstLine="3840" w:firstLineChars="1600"/>
              <w:rPr>
                <w:sz w:val="24"/>
              </w:rPr>
            </w:pPr>
            <w:r>
              <w:rPr>
                <w:rFonts w:hint="eastAsia"/>
                <w:sz w:val="24"/>
              </w:rPr>
              <w:t>审题小组组长（签字）</w:t>
            </w:r>
          </w:p>
          <w:p w14:paraId="56DFE250">
            <w:pPr>
              <w:spacing w:line="480" w:lineRule="auto"/>
              <w:ind w:firstLine="6240" w:firstLineChars="260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年  </w:t>
            </w:r>
            <w:r>
              <w:rPr>
                <w:rFonts w:hint="eastAsia"/>
                <w:sz w:val="24"/>
                <w:lang w:val="en-US" w:eastAsia="zh-CN"/>
              </w:rPr>
              <w:t xml:space="preserve"> </w:t>
            </w:r>
            <w:r>
              <w:rPr>
                <w:rFonts w:hint="eastAsia"/>
                <w:sz w:val="24"/>
              </w:rPr>
              <w:t xml:space="preserve"> 月 </w:t>
            </w:r>
            <w:r>
              <w:rPr>
                <w:rFonts w:hint="eastAsia"/>
                <w:sz w:val="24"/>
                <w:lang w:val="en-US" w:eastAsia="zh-CN"/>
              </w:rPr>
              <w:t xml:space="preserve"> </w:t>
            </w:r>
            <w:r>
              <w:rPr>
                <w:rFonts w:hint="eastAsia"/>
                <w:sz w:val="24"/>
              </w:rPr>
              <w:t xml:space="preserve">  日</w:t>
            </w:r>
          </w:p>
        </w:tc>
      </w:tr>
    </w:tbl>
    <w:p w14:paraId="0CDC2271"/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B4CB52">
    <w:pPr>
      <w:pStyle w:val="1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48C29D3">
                          <w:pPr>
                            <w:pStyle w:val="12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B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48C29D3">
                    <w:pPr>
                      <w:pStyle w:val="12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val="en-US" w:eastAsia="zh-CN"/>
                      </w:rPr>
                      <w:t>B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D00CC3"/>
    <w:multiLevelType w:val="singleLevel"/>
    <w:tmpl w:val="84D00CC3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">
    <w:nsid w:val="A22B5E1D"/>
    <w:multiLevelType w:val="singleLevel"/>
    <w:tmpl w:val="A22B5E1D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">
    <w:nsid w:val="C43FE453"/>
    <w:multiLevelType w:val="singleLevel"/>
    <w:tmpl w:val="C43FE453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3">
    <w:nsid w:val="CA8D0A94"/>
    <w:multiLevelType w:val="singleLevel"/>
    <w:tmpl w:val="CA8D0A94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4">
    <w:nsid w:val="D2B43450"/>
    <w:multiLevelType w:val="singleLevel"/>
    <w:tmpl w:val="D2B43450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5">
    <w:nsid w:val="EA16F1BD"/>
    <w:multiLevelType w:val="singleLevel"/>
    <w:tmpl w:val="EA16F1BD"/>
    <w:lvl w:ilvl="0" w:tentative="0">
      <w:start w:val="1"/>
      <w:numFmt w:val="decimal"/>
      <w:suff w:val="space"/>
      <w:lvlText w:val="%1."/>
      <w:lvlJc w:val="left"/>
      <w:pPr>
        <w:ind w:left="-480" w:firstLine="480"/>
      </w:pPr>
      <w:rPr>
        <w:rFonts w:hint="default"/>
      </w:rPr>
    </w:lvl>
  </w:abstractNum>
  <w:abstractNum w:abstractNumId="6">
    <w:nsid w:val="2D57A371"/>
    <w:multiLevelType w:val="singleLevel"/>
    <w:tmpl w:val="2D57A371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7">
    <w:nsid w:val="3777CB34"/>
    <w:multiLevelType w:val="singleLevel"/>
    <w:tmpl w:val="3777CB34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num w:numId="1">
    <w:abstractNumId w:val="7"/>
  </w:num>
  <w:num w:numId="2">
    <w:abstractNumId w:val="4"/>
  </w:num>
  <w:num w:numId="3">
    <w:abstractNumId w:val="6"/>
  </w:num>
  <w:num w:numId="4">
    <w:abstractNumId w:val="1"/>
  </w:num>
  <w:num w:numId="5">
    <w:abstractNumId w:val="0"/>
  </w:num>
  <w:num w:numId="6">
    <w:abstractNumId w:val="3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HorizontalSpacing w:val="122"/>
  <w:drawingGridVerticalSpacing w:val="165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A17FEA"/>
    <w:rsid w:val="00BB3557"/>
    <w:rsid w:val="06103E00"/>
    <w:rsid w:val="085242E9"/>
    <w:rsid w:val="085B3B1D"/>
    <w:rsid w:val="0AE962F7"/>
    <w:rsid w:val="0C75069A"/>
    <w:rsid w:val="0C8A1E54"/>
    <w:rsid w:val="105C2546"/>
    <w:rsid w:val="10B50454"/>
    <w:rsid w:val="11943BFC"/>
    <w:rsid w:val="12121331"/>
    <w:rsid w:val="12C560FE"/>
    <w:rsid w:val="13A27A23"/>
    <w:rsid w:val="1606592F"/>
    <w:rsid w:val="16AE6FA1"/>
    <w:rsid w:val="17CE3436"/>
    <w:rsid w:val="183666AE"/>
    <w:rsid w:val="19DD32C6"/>
    <w:rsid w:val="1CA17FEA"/>
    <w:rsid w:val="1FD041F9"/>
    <w:rsid w:val="20EA6331"/>
    <w:rsid w:val="24AA0DAA"/>
    <w:rsid w:val="26922965"/>
    <w:rsid w:val="269D0395"/>
    <w:rsid w:val="2A4070BE"/>
    <w:rsid w:val="2AA42A4B"/>
    <w:rsid w:val="2B1D0AF2"/>
    <w:rsid w:val="2B424A89"/>
    <w:rsid w:val="2C0A6A50"/>
    <w:rsid w:val="2D7C0208"/>
    <w:rsid w:val="2D9232A5"/>
    <w:rsid w:val="2E8C0CED"/>
    <w:rsid w:val="2F223B86"/>
    <w:rsid w:val="31ED1580"/>
    <w:rsid w:val="322F37A1"/>
    <w:rsid w:val="3276114B"/>
    <w:rsid w:val="35386BE7"/>
    <w:rsid w:val="372160EE"/>
    <w:rsid w:val="374B49BA"/>
    <w:rsid w:val="3A977FAE"/>
    <w:rsid w:val="3AA832D5"/>
    <w:rsid w:val="3B4F775C"/>
    <w:rsid w:val="3B980AEE"/>
    <w:rsid w:val="3DA9265A"/>
    <w:rsid w:val="3DE6565C"/>
    <w:rsid w:val="3EAE02DD"/>
    <w:rsid w:val="3EFD5FC6"/>
    <w:rsid w:val="3F6E7B73"/>
    <w:rsid w:val="411627BA"/>
    <w:rsid w:val="416D4B5E"/>
    <w:rsid w:val="43DA7D60"/>
    <w:rsid w:val="459E05FC"/>
    <w:rsid w:val="4657521B"/>
    <w:rsid w:val="489661A0"/>
    <w:rsid w:val="48E22588"/>
    <w:rsid w:val="4AAA7D1E"/>
    <w:rsid w:val="4BC13264"/>
    <w:rsid w:val="4BC230D9"/>
    <w:rsid w:val="4D7523E8"/>
    <w:rsid w:val="4D855EC1"/>
    <w:rsid w:val="4DF00786"/>
    <w:rsid w:val="4FAE6583"/>
    <w:rsid w:val="5060304C"/>
    <w:rsid w:val="50B13272"/>
    <w:rsid w:val="525937BF"/>
    <w:rsid w:val="52C95CE8"/>
    <w:rsid w:val="54265EF9"/>
    <w:rsid w:val="54EF499E"/>
    <w:rsid w:val="558772CD"/>
    <w:rsid w:val="55CF7E1D"/>
    <w:rsid w:val="57346FE0"/>
    <w:rsid w:val="59047DCA"/>
    <w:rsid w:val="5910752F"/>
    <w:rsid w:val="5AD75815"/>
    <w:rsid w:val="5CCF011E"/>
    <w:rsid w:val="6297163E"/>
    <w:rsid w:val="62C372F1"/>
    <w:rsid w:val="62C5631B"/>
    <w:rsid w:val="631A470B"/>
    <w:rsid w:val="655F16CC"/>
    <w:rsid w:val="670A2121"/>
    <w:rsid w:val="68E6553F"/>
    <w:rsid w:val="68F9663F"/>
    <w:rsid w:val="69BD7BA1"/>
    <w:rsid w:val="69E25443"/>
    <w:rsid w:val="6C5A4DFF"/>
    <w:rsid w:val="6D413DAD"/>
    <w:rsid w:val="6E7471A4"/>
    <w:rsid w:val="6EAA201D"/>
    <w:rsid w:val="6EF401AB"/>
    <w:rsid w:val="6F773AB6"/>
    <w:rsid w:val="6F8B7F0D"/>
    <w:rsid w:val="706A11BF"/>
    <w:rsid w:val="72F759AB"/>
    <w:rsid w:val="73800E64"/>
    <w:rsid w:val="752729D2"/>
    <w:rsid w:val="76F971C0"/>
    <w:rsid w:val="77712FDB"/>
    <w:rsid w:val="7B3D1D78"/>
    <w:rsid w:val="7BA474D9"/>
    <w:rsid w:val="7BE424D4"/>
    <w:rsid w:val="7D742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仿宋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7">
    <w:name w:val="Default Paragraph Font"/>
    <w:semiHidden/>
    <w:qFormat/>
    <w:uiPriority w:val="0"/>
  </w:style>
  <w:style w:type="table" w:default="1" w:styleId="1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qFormat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4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5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paragraph" w:styleId="18">
    <w:name w:val="List Paragraph"/>
    <w:basedOn w:val="1"/>
    <w:qFormat/>
    <w:uiPriority w:val="99"/>
    <w:pPr>
      <w:ind w:firstLine="420" w:firstLineChars="200"/>
    </w:pPr>
  </w:style>
  <w:style w:type="paragraph" w:customStyle="1" w:styleId="19">
    <w:name w:val="参考文献条目"/>
    <w:next w:val="1"/>
    <w:qFormat/>
    <w:uiPriority w:val="0"/>
    <w:pPr>
      <w:widowControl w:val="0"/>
      <w:adjustRightInd w:val="0"/>
      <w:spacing w:line="300" w:lineRule="auto"/>
      <w:ind w:left="200" w:hanging="200" w:hangingChars="200"/>
      <w:jc w:val="both"/>
    </w:pPr>
    <w:rPr>
      <w:rFonts w:ascii="Times New Roman" w:hAnsi="Times New Roman" w:eastAsia="宋体" w:cs="宋体"/>
      <w:kern w:val="2"/>
      <w:sz w:val="21"/>
      <w:szCs w:val="21"/>
      <w:lang w:bidi="ar-SA"/>
    </w:rPr>
  </w:style>
  <w:style w:type="paragraph" w:customStyle="1" w:styleId="20">
    <w:name w:val="章标题"/>
    <w:next w:val="1"/>
    <w:uiPriority w:val="0"/>
    <w:pPr>
      <w:widowControl w:val="0"/>
      <w:adjustRightInd w:val="0"/>
      <w:spacing w:before="100" w:after="100" w:line="360" w:lineRule="auto"/>
      <w:jc w:val="center"/>
      <w:outlineLvl w:val="0"/>
    </w:pPr>
    <w:rPr>
      <w:rFonts w:ascii="Times New Roman" w:hAnsi="Times New Roman" w:eastAsia="黑体" w:cs="Times New Roman"/>
      <w:kern w:val="44"/>
      <w:sz w:val="36"/>
      <w:szCs w:val="44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2510</Words>
  <Characters>3687</Characters>
  <Lines>0</Lines>
  <Paragraphs>0</Paragraphs>
  <TotalTime>1</TotalTime>
  <ScaleCrop>false</ScaleCrop>
  <LinksUpToDate>false</LinksUpToDate>
  <CharactersWithSpaces>3929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2020-10-08T07:32:00Z</dcterms:created>
  <dc:creator>菲菲</dc:creator>
  <cp:lastModifiedBy>杨宇鑫</cp:lastModifiedBy>
  <dcterms:modified xsi:type="dcterms:W3CDTF">2026-01-24T09:22:35Z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eyJoZGlkIjoiNzg2OWQ1MzEzNTFkMWU0NDI4NmQzZDZkZWYwZWI0Y2YiLCJ1c2VySWQiOiIxNjg3MzA0NDYyIn0=</vt:lpwstr>
  </property>
  <property fmtid="{D5CDD505-2E9C-101B-9397-08002B2CF9AE}" pid="4" name="ICV">
    <vt:lpwstr>BA224975C0DD40ED878496F5958FE888_13</vt:lpwstr>
  </property>
</Properties>
</file>