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b/>
          <w:color w:val="3E8965"/>
          <w:sz w:val="16"/>
          <w:lang w:val="es-AR"/>
        </w:rPr>
        <w:t>ENCUENTRO E3  •  09/11/2026  •  UNIDAD 06 E INTEGRACIÓN RA1–RA6</w:t>
      </w:r>
    </w:p>
    <w:p>
      <w:pPr>
        <w:pStyle w:val="Title"/>
      </w:pPr>
      <w:r>
        <w:rPr>
          <w:lang w:val="es-AR"/>
        </w:rPr>
        <w:t>PRESENTAR Y REFLEXIONAR</w:t>
      </w:r>
    </w:p>
    <w:p>
      <w:pPr>
        <w:spacing w:after="140"/>
      </w:pPr>
      <w:r>
        <w:rPr>
          <w:b/>
          <w:color w:val="684F9A"/>
          <w:sz w:val="20"/>
          <w:lang w:val="es-AR"/>
        </w:rPr>
        <w:t>GUÍA DE TRABAJO · ESTUDIANTES</w:t>
      </w:r>
    </w:p>
    <w:p>
      <w:pPr>
        <w:spacing w:after="200"/>
      </w:pPr>
      <w:r>
        <w:rPr>
          <w:lang w:val="es-AR"/>
        </w:rPr>
        <w:t>Defensa · ajustes · cierre del TIF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94"/>
        <w:gridCol w:w="3194"/>
        <w:gridCol w:w="3194"/>
      </w:tblGrid>
      <w:tr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FECHA</w:t>
              <w:br/>
              <w:t>09/11/2026</w:t>
            </w:r>
          </w:p>
        </w:tc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EXPLICACIÓN</w:t>
              <w:br/>
              <w:t>20 %</w:t>
            </w:r>
          </w:p>
        </w:tc>
        <w:tc>
          <w:tcPr>
            <w:tcW w:type="dxa" w:w="3194"/>
            <w:shd w:fill="EDF4F7"/>
            <w:tcBorders>
              <w:top w:val="single" w:sz="4" w:color="D5E3EB"/>
              <w:left w:val="single" w:sz="4" w:color="D5E3EB"/>
              <w:bottom w:val="single" w:sz="4" w:color="D5E3EB"/>
              <w:right w:val="single" w:sz="4" w:color="D5E3EB"/>
            </w:tcBorders>
            <w:tcMar>
              <w:top w:w="95" w:type="dxa"/>
              <w:start w:w="120" w:type="dxa"/>
              <w:bottom w:w="95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lang w:val="es-AR"/>
              </w:rPr>
            </w:r>
            <w:r>
              <w:rPr>
                <w:b/>
                <w:color w:val="17638A"/>
                <w:sz w:val="18"/>
                <w:lang w:val="es-AR"/>
              </w:rPr>
              <w:t>PRÁCTICA</w:t>
              <w:br/>
              <w:t>80 %</w:t>
            </w:r>
          </w:p>
        </w:tc>
      </w:tr>
    </w:tbl>
    <w:p>
      <w:pPr>
        <w:spacing w:after="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DF4F7"/>
            <w:tcBorders>
              <w:top w:val="single" w:sz="4" w:color="17638A"/>
              <w:left w:val="single" w:sz="4" w:color="17638A"/>
              <w:bottom w:val="single" w:sz="4" w:color="17638A"/>
              <w:right w:val="single" w:sz="4" w:color="17638A"/>
            </w:tcBorders>
            <w:tcMar>
              <w:top w:w="12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17638A"/>
                <w:sz w:val="18"/>
                <w:lang w:val="es-AR"/>
              </w:rPr>
              <w:t>CONSIGNA EN UNA FRASE</w:t>
            </w:r>
          </w:p>
          <w:p>
            <w:pPr>
              <w:spacing w:after="0"/>
            </w:pPr>
            <w:r>
              <w:rPr>
                <w:lang w:val="es-AR"/>
              </w:rPr>
              <w:t>Mostramos qué hicimos y qué aprendimos. No necesitamos un proyecto nuevo: presentamos y mejoramos el mismo TIF.</w:t>
            </w:r>
          </w:p>
        </w:tc>
      </w:tr>
    </w:tbl>
    <w:p>
      <w:pPr>
        <w:spacing w:after="0"/>
      </w:pPr>
    </w:p>
    <w:p>
      <w:r>
        <w:rPr>
          <w:lang w:val="es-AR"/>
        </w:rPr>
        <w:t>PRESENTACIÓN GRUPAL — aproximadamente 3 minutos. Utilicen la ficha del 26/10 y el complemento del 02/11. No es necesario preparar diapositivas salvo que el docente lo indique.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GRUPO / INTEGRANTES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r>
        <w:rPr>
          <w:lang w:val="es-AR"/>
        </w:rPr>
        <w:t>Para organizar la exposición, respondan estas cuatro preguntas (una o dos frases cada una):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1. ¿QUÉ PROBLEMA ABORDAMOS?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2. ¿QUÉ ALTERNATIVAS APARECIERON Y CON QUÉ CRITERIO LAS COMPARAMOS?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3. ¿QUÉ DECIDIMOS Y QUÉ VERIFICAMOS / QUEDÓ PENDIENTE?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4. ¿QUÉ APORTÓ LA IA Y QUÉ APRENDIMOS NOSOTROS?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before="120" w:after="40"/>
      </w:pPr>
      <w:r>
        <w:rPr>
          <w:b/>
          <w:color w:val="17638A"/>
          <w:sz w:val="17"/>
          <w:lang w:val="es-AR"/>
        </w:rPr>
        <w:t>OBSERVACIÓN RECIBIDA Y CORRECCIÓN QUE HACEMOS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p>
      <w:pPr>
        <w:spacing w:after="20"/>
      </w:pPr>
      <w:r>
        <w:rPr>
          <w:lang w:val="es-AR"/>
        </w:rPr>
        <w:t>________________________________________________________________________________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582"/>
      </w:tblGrid>
      <w:tr>
        <w:tc>
          <w:tcPr>
            <w:tcW w:type="dxa" w:w="9582"/>
            <w:shd w:fill="EDF4F7"/>
            <w:tcBorders>
              <w:top w:val="single" w:sz="4" w:color="3E8965"/>
              <w:left w:val="single" w:sz="4" w:color="3E8965"/>
              <w:bottom w:val="single" w:sz="4" w:color="3E8965"/>
              <w:right w:val="single" w:sz="4" w:color="3E8965"/>
            </w:tcBorders>
            <w:tcMar>
              <w:top w:w="120" w:type="dxa"/>
              <w:start w:w="180" w:type="dxa"/>
              <w:bottom w:w="130" w:type="dxa"/>
              <w:end w:w="180" w:type="dxa"/>
            </w:tcMar>
          </w:tcPr>
          <w:p>
            <w:pPr>
              <w:spacing w:after="40"/>
            </w:pPr>
            <w:r>
              <w:rPr>
                <w:b/>
                <w:color w:val="3E8965"/>
                <w:sz w:val="18"/>
                <w:lang w:val="es-AR"/>
              </w:rPr>
              <w:t>REFLEXIÓN INDIVIDUAL (CADA INTEGRANTE)</w:t>
            </w:r>
          </w:p>
          <w:p>
            <w:pPr>
              <w:spacing w:after="0"/>
            </w:pPr>
            <w:r>
              <w:rPr>
                <w:lang w:val="es-AR"/>
              </w:rPr>
              <w:t>Completá con tres frases: “Antes pensaba que…” / “Ahora sé que debo…” / “La próxima vez mejoraré…”. Puede escribirse al pie del trabajo o en una hoja adicional breve.</w:t>
            </w:r>
          </w:p>
        </w:tc>
      </w:tr>
    </w:tbl>
    <w:p>
      <w:pPr>
        <w:spacing w:after="0"/>
      </w:pPr>
    </w:p>
    <w:p>
      <w:r>
        <w:rPr>
          <w:lang w:val="es-AR"/>
        </w:rPr>
        <w:t>ENTREGA FINAL: misma ficha + complemento + corrección breve + reflexión individual. Se valorará la claridad de la explicación y la responsabilidad con que se distingue lo comprobado de lo pendiente.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49" w:right="1162" w:bottom="935" w:left="1162" w:header="369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465463"/>
        <w:sz w:val="14"/>
      </w:rPr>
      <w:t xml:space="preserve">CIRAD 2026  ·  Material de trabajo V01 — para revisión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17638A"/>
        <w:sz w:val="14"/>
      </w:rPr>
      <w:t>UTN FRVT  /  CIRAD 2026  /  RECOMPOSICIÓN EXCEPCIONAL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Aptos" w:hAnsi="Aptos"/>
      <w:color w:val="465463"/>
      <w:sz w:val="18"/>
      <w:lang w:val="es-AR" w:eastAsia="es-AR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 w:eastAsia="es-AR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es-AR" w:eastAsia="es-AR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es-AR" w:eastAsia="es-AR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es-AR" w:eastAsia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38A"/>
      <w:sz w:val="25"/>
      <w:szCs w:val="28"/>
      <w:lang w:val="es-AR" w:eastAsia="es-AR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8F99"/>
      <w:sz w:val="20"/>
      <w:szCs w:val="26"/>
      <w:lang w:val="es-AR" w:eastAsia="es-AR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E8965"/>
      <w:sz w:val="19"/>
      <w:lang w:val="es-AR" w:eastAsia="es-AR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es-AR" w:eastAsia="es-AR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es-AR" w:eastAsia="es-AR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es-AR" w:eastAsia="es-AR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es-AR" w:eastAsia="es-AR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es-AR" w:eastAsia="es-AR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 w:eastAsia="es-AR"/>
    </w:rPr>
  </w:style>
  <w:style w:type="character" w:default="1" w:styleId="DefaultParagraphFont">
    <w:name w:val="Default Paragraph Font"/>
    <w:uiPriority w:val="1"/>
    <w:semiHidden/>
    <w:unhideWhenUsed/>
    <w:rPr>
      <w:lang w:val="es-AR" w:eastAsia="es-AR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es-AR" w:eastAsia="es-AR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AR" w:eastAsia="es-AR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AR" w:eastAsia="es-AR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es-AR" w:eastAsia="es-AR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43D61"/>
      <w:spacing w:val="5"/>
      <w:kern w:val="28"/>
      <w:sz w:val="38"/>
      <w:szCs w:val="52"/>
      <w:lang w:val="es-AR" w:eastAsia="es-AR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es-AR" w:eastAsia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 w:eastAsia="es-AR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es-AR" w:eastAsia="es-AR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es-AR" w:eastAsia="es-AR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es-AR" w:eastAsia="es-AR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es-AR" w:eastAsia="es-AR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es-AR" w:eastAsia="es-AR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es-AR" w:eastAsia="es-AR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es-AR" w:eastAsia="es-AR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es-AR" w:eastAsia="es-AR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es-AR" w:eastAsia="es-AR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es-AR" w:eastAsia="es-AR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es-AR" w:eastAsia="es-AR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es-AR" w:eastAsia="es-AR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es-AR" w:eastAsia="es-AR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es-AR" w:eastAsia="es-AR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es-AR" w:eastAsia="es-AR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es-AR" w:eastAsia="es-AR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es-AR" w:eastAsia="es-AR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es-AR" w:eastAsia="es-AR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es-AR" w:eastAsia="es-AR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es-AR" w:eastAsia="es-AR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es-AR" w:eastAsia="es-AR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es-AR" w:eastAsia="es-AR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es-AR" w:eastAsia="es-AR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es-AR" w:eastAsia="es-AR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es-AR" w:eastAsia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es-AR" w:eastAsia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es-AR" w:eastAsia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es-AR" w:eastAsia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es-AR" w:eastAsia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AR" w:eastAsia="es-AR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es-AR" w:eastAsia="es-AR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es-AR" w:eastAsia="es-AR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es-AR" w:eastAsia="es-AR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es-AR" w:eastAsia="es-AR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es-AR" w:eastAsia="es-AR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es-AR" w:eastAsia="es-AR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es-AR" w:eastAsia="es-AR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es-AR" w:eastAsia="es-AR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es-AR" w:eastAsia="es-AR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es-AR" w:eastAsia="es-AR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es-AR" w:eastAsia="es-AR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