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55" w:rsidRPr="00580C6C" w:rsidRDefault="00BE7F09">
      <w:pPr>
        <w:rPr>
          <w:rFonts w:ascii="Times New Roman" w:hAnsi="Times New Roman" w:cs="Times New Roman"/>
        </w:rPr>
      </w:pPr>
      <w:bookmarkStart w:id="0" w:name="_GoBack"/>
      <w:bookmarkEnd w:id="0"/>
    </w:p>
    <w:p w:rsidR="001F46ED" w:rsidRPr="00580C6C" w:rsidRDefault="00841FE6">
      <w:pPr>
        <w:rPr>
          <w:rFonts w:ascii="Times New Roman" w:eastAsia="Times New Roman" w:hAnsi="Times New Roman" w:cs="Times New Roman"/>
        </w:rPr>
      </w:pPr>
      <w:r w:rsidRPr="00580C6C">
        <w:rPr>
          <w:rFonts w:ascii="Times New Roman" w:eastAsia="Times New Roman" w:hAnsi="Times New Roman" w:cs="Times New Roman"/>
          <w:b/>
        </w:rPr>
        <w:t xml:space="preserve">JHS Events data </w:t>
      </w:r>
      <w:r w:rsidR="006E633D" w:rsidRPr="00580C6C">
        <w:rPr>
          <w:rFonts w:ascii="Times New Roman" w:eastAsia="Times New Roman" w:hAnsi="Times New Roman" w:cs="Times New Roman"/>
          <w:b/>
        </w:rPr>
        <w:t>2000</w:t>
      </w:r>
      <w:r w:rsidR="001F46ED" w:rsidRPr="00580C6C">
        <w:rPr>
          <w:rFonts w:ascii="Times New Roman" w:eastAsia="Times New Roman" w:hAnsi="Times New Roman" w:cs="Times New Roman"/>
          <w:b/>
        </w:rPr>
        <w:t>-</w:t>
      </w:r>
      <w:r w:rsidRPr="00580C6C">
        <w:rPr>
          <w:rFonts w:ascii="Times New Roman" w:eastAsia="Times New Roman" w:hAnsi="Times New Roman" w:cs="Times New Roman"/>
          <w:b/>
        </w:rPr>
        <w:t>201</w:t>
      </w:r>
      <w:r w:rsidR="004442E2">
        <w:rPr>
          <w:rFonts w:ascii="Times New Roman" w:eastAsia="Times New Roman" w:hAnsi="Times New Roman" w:cs="Times New Roman"/>
          <w:b/>
        </w:rPr>
        <w:t>2</w:t>
      </w:r>
      <w:r w:rsidRPr="00580C6C">
        <w:rPr>
          <w:rFonts w:ascii="Times New Roman" w:eastAsia="Times New Roman" w:hAnsi="Times New Roman" w:cs="Times New Roman"/>
          <w:b/>
        </w:rPr>
        <w:t xml:space="preserve">: </w:t>
      </w:r>
      <w:r w:rsidR="00E4097D" w:rsidRPr="00580C6C">
        <w:rPr>
          <w:rFonts w:ascii="Times New Roman" w:eastAsia="Times New Roman" w:hAnsi="Times New Roman" w:cs="Times New Roman"/>
          <w:b/>
        </w:rPr>
        <w:t>Stroke</w:t>
      </w:r>
      <w:r w:rsidR="00841B8C" w:rsidRPr="00580C6C">
        <w:rPr>
          <w:rFonts w:ascii="Times New Roman" w:eastAsia="Times New Roman" w:hAnsi="Times New Roman" w:cs="Times New Roman"/>
          <w:b/>
        </w:rPr>
        <w:t xml:space="preserve"> </w:t>
      </w:r>
      <w:r w:rsidR="00841B8C" w:rsidRPr="00580C6C">
        <w:rPr>
          <w:rFonts w:ascii="Times New Roman" w:eastAsia="Times New Roman" w:hAnsi="Times New Roman" w:cs="Times New Roman"/>
        </w:rPr>
        <w:t>(brief report)</w:t>
      </w:r>
    </w:p>
    <w:tbl>
      <w:tblPr>
        <w:tblW w:w="3656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6840"/>
      </w:tblGrid>
      <w:tr w:rsidR="00580C6C" w:rsidRPr="00580C6C" w:rsidTr="007137EC">
        <w:trPr>
          <w:trHeight w:val="311"/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41B8C" w:rsidRPr="00580C6C" w:rsidRDefault="00841B8C" w:rsidP="007137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0C6C">
              <w:rPr>
                <w:rFonts w:ascii="Times New Roman" w:eastAsia="Times New Roman" w:hAnsi="Times New Roman" w:cs="Times New Roman"/>
              </w:rPr>
              <w:t xml:space="preserve">Event counts per participant: </w:t>
            </w:r>
            <w:r w:rsidR="007137EC" w:rsidRPr="00580C6C">
              <w:rPr>
                <w:rFonts w:ascii="Times New Roman" w:eastAsia="Times New Roman" w:hAnsi="Times New Roman" w:cs="Times New Roman"/>
              </w:rPr>
              <w:t>Stroke</w:t>
            </w:r>
          </w:p>
        </w:tc>
      </w:tr>
    </w:tbl>
    <w:p w:rsidR="00841B8C" w:rsidRPr="00580C6C" w:rsidRDefault="00841B8C" w:rsidP="00841B8C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1147"/>
        <w:gridCol w:w="917"/>
        <w:gridCol w:w="1247"/>
        <w:gridCol w:w="1247"/>
      </w:tblGrid>
      <w:tr w:rsidR="00097346" w:rsidTr="00097346">
        <w:trPr>
          <w:cantSplit/>
          <w:tblHeader/>
          <w:jc w:val="center"/>
        </w:trPr>
        <w:tc>
          <w:tcPr>
            <w:tcW w:w="541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" w:name="IDX"/>
            <w:bookmarkEnd w:id="1"/>
            <w:r>
              <w:rPr>
                <w:b/>
                <w:bCs/>
                <w:color w:val="000000"/>
              </w:rPr>
              <w:t># of Event</w:t>
            </w:r>
          </w:p>
        </w:tc>
      </w:tr>
      <w:tr w:rsidR="00097346" w:rsidTr="00097346">
        <w:trPr>
          <w:cantSplit/>
          <w:tblHeader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EvtTab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Frequency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Percent</w:t>
            </w:r>
          </w:p>
        </w:tc>
      </w:tr>
      <w:tr w:rsidR="00097346" w:rsidTr="00097346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86.29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86.29</w:t>
            </w:r>
          </w:p>
        </w:tc>
      </w:tr>
      <w:tr w:rsidR="00097346" w:rsidTr="00097346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97.97</w:t>
            </w:r>
          </w:p>
        </w:tc>
      </w:tr>
      <w:tr w:rsidR="00097346" w:rsidTr="00097346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99.49</w:t>
            </w:r>
          </w:p>
        </w:tc>
      </w:tr>
      <w:tr w:rsidR="00097346" w:rsidTr="00097346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</w:tr>
    </w:tbl>
    <w:p w:rsidR="004442E2" w:rsidRDefault="004442E2" w:rsidP="00C37E2E">
      <w:pPr>
        <w:rPr>
          <w:rFonts w:ascii="Times New Roman" w:hAnsi="Times New Roman" w:cs="Times New Roman"/>
          <w:b/>
        </w:rPr>
      </w:pPr>
    </w:p>
    <w:p w:rsidR="00873867" w:rsidRPr="00580C6C" w:rsidRDefault="00841B8C" w:rsidP="00C37E2E">
      <w:pPr>
        <w:rPr>
          <w:rFonts w:ascii="Times New Roman" w:hAnsi="Times New Roman" w:cs="Times New Roman"/>
        </w:rPr>
      </w:pPr>
      <w:r w:rsidRPr="00580C6C">
        <w:rPr>
          <w:rFonts w:ascii="Times New Roman" w:hAnsi="Times New Roman" w:cs="Times New Roman"/>
          <w:b/>
        </w:rPr>
        <w:t>Summary</w:t>
      </w:r>
      <w:r w:rsidRPr="00580C6C">
        <w:rPr>
          <w:rFonts w:ascii="Times New Roman" w:hAnsi="Times New Roman" w:cs="Times New Roman"/>
        </w:rPr>
        <w:t>: From the adjudicated data rec</w:t>
      </w:r>
      <w:r w:rsidR="00312963" w:rsidRPr="00580C6C">
        <w:rPr>
          <w:rFonts w:ascii="Times New Roman" w:hAnsi="Times New Roman" w:cs="Times New Roman"/>
        </w:rPr>
        <w:t xml:space="preserve">eived from UNC-CC, of the </w:t>
      </w:r>
      <w:r w:rsidR="00097346">
        <w:rPr>
          <w:rFonts w:ascii="Times New Roman" w:hAnsi="Times New Roman" w:cs="Times New Roman"/>
        </w:rPr>
        <w:t>5126</w:t>
      </w:r>
      <w:r w:rsidR="004442E2">
        <w:rPr>
          <w:rFonts w:ascii="Times New Roman" w:hAnsi="Times New Roman" w:cs="Times New Roman"/>
        </w:rPr>
        <w:t xml:space="preserve"> JHS </w:t>
      </w:r>
      <w:r w:rsidR="004442E2" w:rsidRPr="00307D01">
        <w:rPr>
          <w:rFonts w:ascii="Times New Roman" w:hAnsi="Times New Roman" w:cs="Times New Roman"/>
        </w:rPr>
        <w:t>participants</w:t>
      </w:r>
      <w:r w:rsidR="00097346">
        <w:rPr>
          <w:rFonts w:ascii="Times New Roman" w:hAnsi="Times New Roman" w:cs="Times New Roman"/>
        </w:rPr>
        <w:t xml:space="preserve"> (5306</w:t>
      </w:r>
      <w:r w:rsidR="004442E2">
        <w:rPr>
          <w:rFonts w:ascii="Times New Roman" w:hAnsi="Times New Roman" w:cs="Times New Roman"/>
        </w:rPr>
        <w:t xml:space="preserve"> – 180, 180 participants gave negative consent for medical record abstraction at JHS V1)</w:t>
      </w:r>
      <w:r w:rsidR="00C228AC" w:rsidRPr="00580C6C">
        <w:rPr>
          <w:rFonts w:ascii="Times New Roman" w:hAnsi="Times New Roman" w:cs="Times New Roman"/>
        </w:rPr>
        <w:t>, there were</w:t>
      </w:r>
      <w:r w:rsidR="00E73F0B">
        <w:rPr>
          <w:rFonts w:ascii="Times New Roman" w:hAnsi="Times New Roman" w:cs="Times New Roman"/>
        </w:rPr>
        <w:t xml:space="preserve"> </w:t>
      </w:r>
      <w:r w:rsidR="00125DEF">
        <w:rPr>
          <w:rFonts w:ascii="Times New Roman" w:hAnsi="Times New Roman" w:cs="Times New Roman"/>
        </w:rPr>
        <w:t>1</w:t>
      </w:r>
      <w:r w:rsidR="004442E2">
        <w:rPr>
          <w:rFonts w:ascii="Times New Roman" w:hAnsi="Times New Roman" w:cs="Times New Roman"/>
        </w:rPr>
        <w:t>97</w:t>
      </w:r>
      <w:r w:rsidR="00067965">
        <w:rPr>
          <w:rFonts w:ascii="Times New Roman" w:hAnsi="Times New Roman" w:cs="Times New Roman"/>
        </w:rPr>
        <w:t xml:space="preserve"> </w:t>
      </w:r>
      <w:r w:rsidRPr="00580C6C">
        <w:rPr>
          <w:rFonts w:ascii="Times New Roman" w:hAnsi="Times New Roman" w:cs="Times New Roman"/>
        </w:rPr>
        <w:t>participants (</w:t>
      </w:r>
      <w:r w:rsidR="00125DEF">
        <w:rPr>
          <w:rFonts w:ascii="Times New Roman" w:hAnsi="Times New Roman" w:cs="Times New Roman"/>
        </w:rPr>
        <w:t>3.</w:t>
      </w:r>
      <w:r w:rsidR="004442E2">
        <w:rPr>
          <w:rFonts w:ascii="Times New Roman" w:hAnsi="Times New Roman" w:cs="Times New Roman"/>
        </w:rPr>
        <w:t>8</w:t>
      </w:r>
      <w:r w:rsidR="00097346">
        <w:rPr>
          <w:rFonts w:ascii="Times New Roman" w:hAnsi="Times New Roman" w:cs="Times New Roman"/>
        </w:rPr>
        <w:t>4</w:t>
      </w:r>
      <w:r w:rsidRPr="00580C6C">
        <w:rPr>
          <w:rFonts w:ascii="Times New Roman" w:hAnsi="Times New Roman" w:cs="Times New Roman"/>
        </w:rPr>
        <w:t xml:space="preserve">%) with adjudicated </w:t>
      </w:r>
      <w:r w:rsidR="00800CD9" w:rsidRPr="00580C6C">
        <w:rPr>
          <w:rFonts w:ascii="Times New Roman" w:hAnsi="Times New Roman" w:cs="Times New Roman"/>
        </w:rPr>
        <w:t xml:space="preserve">probable or definite </w:t>
      </w:r>
      <w:r w:rsidR="00782036" w:rsidRPr="00580C6C">
        <w:rPr>
          <w:rFonts w:ascii="Times New Roman" w:hAnsi="Times New Roman" w:cs="Times New Roman"/>
        </w:rPr>
        <w:t>Stroke</w:t>
      </w:r>
      <w:r w:rsidR="00800CD9" w:rsidRPr="00580C6C">
        <w:rPr>
          <w:rFonts w:ascii="Times New Roman" w:hAnsi="Times New Roman" w:cs="Times New Roman"/>
        </w:rPr>
        <w:t xml:space="preserve"> events</w:t>
      </w:r>
      <w:r w:rsidRPr="00580C6C">
        <w:rPr>
          <w:rFonts w:ascii="Times New Roman" w:hAnsi="Times New Roman" w:cs="Times New Roman"/>
        </w:rPr>
        <w:t xml:space="preserve"> recorded </w:t>
      </w:r>
      <w:r w:rsidR="00800CD9" w:rsidRPr="00580C6C">
        <w:rPr>
          <w:rFonts w:ascii="Times New Roman" w:hAnsi="Times New Roman" w:cs="Times New Roman"/>
        </w:rPr>
        <w:t>from 2000</w:t>
      </w:r>
      <w:r w:rsidR="00C228AC" w:rsidRPr="00580C6C">
        <w:rPr>
          <w:rFonts w:ascii="Times New Roman" w:hAnsi="Times New Roman" w:cs="Times New Roman"/>
        </w:rPr>
        <w:t>-</w:t>
      </w:r>
      <w:r w:rsidRPr="00580C6C">
        <w:rPr>
          <w:rFonts w:ascii="Times New Roman" w:hAnsi="Times New Roman" w:cs="Times New Roman"/>
        </w:rPr>
        <w:t>201</w:t>
      </w:r>
      <w:r w:rsidR="004442E2">
        <w:rPr>
          <w:rFonts w:ascii="Times New Roman" w:hAnsi="Times New Roman" w:cs="Times New Roman"/>
        </w:rPr>
        <w:t>2</w:t>
      </w:r>
      <w:r w:rsidRPr="00580C6C">
        <w:rPr>
          <w:rFonts w:ascii="Times New Roman" w:hAnsi="Times New Roman" w:cs="Times New Roman"/>
        </w:rPr>
        <w:t xml:space="preserve">. </w:t>
      </w:r>
      <w:r w:rsidR="00125DEF">
        <w:rPr>
          <w:rFonts w:ascii="Times New Roman" w:hAnsi="Times New Roman" w:cs="Times New Roman"/>
        </w:rPr>
        <w:t>1</w:t>
      </w:r>
      <w:r w:rsidR="004442E2">
        <w:rPr>
          <w:rFonts w:ascii="Times New Roman" w:hAnsi="Times New Roman" w:cs="Times New Roman"/>
        </w:rPr>
        <w:t>70</w:t>
      </w:r>
      <w:r w:rsidR="002C4A65">
        <w:rPr>
          <w:rFonts w:ascii="Times New Roman" w:hAnsi="Times New Roman" w:cs="Times New Roman"/>
        </w:rPr>
        <w:t xml:space="preserve"> </w:t>
      </w:r>
      <w:r w:rsidR="005605C4" w:rsidRPr="00580C6C">
        <w:rPr>
          <w:rFonts w:ascii="Times New Roman" w:hAnsi="Times New Roman" w:cs="Times New Roman"/>
        </w:rPr>
        <w:t>(</w:t>
      </w:r>
      <w:r w:rsidR="002C4A65">
        <w:rPr>
          <w:rFonts w:ascii="Times New Roman" w:hAnsi="Times New Roman" w:cs="Times New Roman"/>
        </w:rPr>
        <w:t>8</w:t>
      </w:r>
      <w:r w:rsidR="004442E2">
        <w:rPr>
          <w:rFonts w:ascii="Times New Roman" w:hAnsi="Times New Roman" w:cs="Times New Roman"/>
        </w:rPr>
        <w:t>6.3</w:t>
      </w:r>
      <w:r w:rsidRPr="00580C6C">
        <w:rPr>
          <w:rFonts w:ascii="Times New Roman" w:hAnsi="Times New Roman" w:cs="Times New Roman"/>
        </w:rPr>
        <w:t xml:space="preserve">%) of these participants had single occurrences, </w:t>
      </w:r>
      <w:r w:rsidR="005605C4" w:rsidRPr="00580C6C">
        <w:rPr>
          <w:rFonts w:ascii="Times New Roman" w:hAnsi="Times New Roman" w:cs="Times New Roman"/>
        </w:rPr>
        <w:t xml:space="preserve">and </w:t>
      </w:r>
      <w:r w:rsidR="0023368F">
        <w:rPr>
          <w:rFonts w:ascii="Times New Roman" w:hAnsi="Times New Roman" w:cs="Times New Roman"/>
        </w:rPr>
        <w:t>2</w:t>
      </w:r>
      <w:r w:rsidR="004442E2">
        <w:rPr>
          <w:rFonts w:ascii="Times New Roman" w:hAnsi="Times New Roman" w:cs="Times New Roman"/>
        </w:rPr>
        <w:t>7</w:t>
      </w:r>
      <w:r w:rsidR="0023368F">
        <w:rPr>
          <w:rFonts w:ascii="Times New Roman" w:hAnsi="Times New Roman" w:cs="Times New Roman"/>
        </w:rPr>
        <w:t xml:space="preserve"> </w:t>
      </w:r>
      <w:r w:rsidR="005605C4" w:rsidRPr="00580C6C">
        <w:rPr>
          <w:rFonts w:ascii="Times New Roman" w:hAnsi="Times New Roman" w:cs="Times New Roman"/>
        </w:rPr>
        <w:t>(</w:t>
      </w:r>
      <w:r w:rsidR="002C4A65">
        <w:rPr>
          <w:rFonts w:ascii="Times New Roman" w:hAnsi="Times New Roman" w:cs="Times New Roman"/>
        </w:rPr>
        <w:t>1</w:t>
      </w:r>
      <w:r w:rsidR="004442E2">
        <w:rPr>
          <w:rFonts w:ascii="Times New Roman" w:hAnsi="Times New Roman" w:cs="Times New Roman"/>
        </w:rPr>
        <w:t>3.7</w:t>
      </w:r>
      <w:r w:rsidR="00312963" w:rsidRPr="00580C6C">
        <w:rPr>
          <w:rFonts w:ascii="Times New Roman" w:hAnsi="Times New Roman" w:cs="Times New Roman"/>
        </w:rPr>
        <w:t>%</w:t>
      </w:r>
      <w:r w:rsidRPr="00580C6C">
        <w:rPr>
          <w:rFonts w:ascii="Times New Roman" w:hAnsi="Times New Roman" w:cs="Times New Roman"/>
        </w:rPr>
        <w:t xml:space="preserve">) of these participants had multiple observations </w:t>
      </w:r>
      <w:r w:rsidRPr="00B1253A">
        <w:rPr>
          <w:rFonts w:ascii="Times New Roman" w:hAnsi="Times New Roman" w:cs="Times New Roman"/>
        </w:rPr>
        <w:t xml:space="preserve">of </w:t>
      </w:r>
      <w:r w:rsidR="00097346">
        <w:rPr>
          <w:rFonts w:ascii="Times New Roman" w:hAnsi="Times New Roman" w:cs="Times New Roman"/>
        </w:rPr>
        <w:t>s</w:t>
      </w:r>
      <w:r w:rsidR="005605C4" w:rsidRPr="00B1253A">
        <w:rPr>
          <w:rFonts w:ascii="Times New Roman" w:hAnsi="Times New Roman" w:cs="Times New Roman"/>
        </w:rPr>
        <w:t>troke</w:t>
      </w:r>
      <w:r w:rsidR="00A945DF" w:rsidRPr="00B1253A">
        <w:rPr>
          <w:rFonts w:ascii="Times New Roman" w:hAnsi="Times New Roman" w:cs="Times New Roman"/>
        </w:rPr>
        <w:t xml:space="preserve">, bringing the total number of adjudicated </w:t>
      </w:r>
      <w:r w:rsidR="003302C7" w:rsidRPr="00B1253A">
        <w:rPr>
          <w:rFonts w:ascii="Times New Roman" w:hAnsi="Times New Roman" w:cs="Times New Roman"/>
        </w:rPr>
        <w:t>Stroke events to</w:t>
      </w:r>
      <w:r w:rsidR="002C4A65" w:rsidRPr="00B1253A">
        <w:rPr>
          <w:rFonts w:ascii="Times New Roman" w:hAnsi="Times New Roman" w:cs="Times New Roman"/>
        </w:rPr>
        <w:t xml:space="preserve"> 2</w:t>
      </w:r>
      <w:r w:rsidR="004442E2">
        <w:rPr>
          <w:rFonts w:ascii="Times New Roman" w:hAnsi="Times New Roman" w:cs="Times New Roman"/>
        </w:rPr>
        <w:t>29</w:t>
      </w:r>
      <w:r w:rsidRPr="00B1253A">
        <w:rPr>
          <w:rFonts w:ascii="Times New Roman" w:hAnsi="Times New Roman" w:cs="Times New Roman"/>
        </w:rPr>
        <w:t>.</w:t>
      </w:r>
      <w:r w:rsidR="00800CD9" w:rsidRPr="00580C6C">
        <w:rPr>
          <w:rFonts w:ascii="Times New Roman" w:hAnsi="Times New Roman" w:cs="Times New Roman"/>
        </w:rPr>
        <w:t xml:space="preserve"> </w:t>
      </w:r>
    </w:p>
    <w:tbl>
      <w:tblPr>
        <w:tblW w:w="3656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6840"/>
      </w:tblGrid>
      <w:tr w:rsidR="00580C6C" w:rsidRPr="00580C6C" w:rsidTr="00C22E19">
        <w:trPr>
          <w:trHeight w:val="311"/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73867" w:rsidRPr="00580C6C" w:rsidRDefault="00873867" w:rsidP="00C22E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0C6C">
              <w:rPr>
                <w:rFonts w:ascii="Times New Roman" w:eastAsia="Times New Roman" w:hAnsi="Times New Roman" w:cs="Times New Roman"/>
              </w:rPr>
              <w:t>Event counts per participant: Stroke Subtypes</w:t>
            </w:r>
          </w:p>
        </w:tc>
      </w:tr>
    </w:tbl>
    <w:p w:rsidR="001A1BB3" w:rsidRPr="00580C6C" w:rsidRDefault="001A1BB3" w:rsidP="0087386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686"/>
        <w:gridCol w:w="1147"/>
        <w:gridCol w:w="1147"/>
        <w:gridCol w:w="1247"/>
        <w:gridCol w:w="1247"/>
      </w:tblGrid>
      <w:tr w:rsidR="00097346" w:rsidTr="005772EE">
        <w:trPr>
          <w:cantSplit/>
          <w:tblHeader/>
        </w:trPr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strokeType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 of Event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 Count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 of Total 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 Frequency Count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 Percent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Brain Infarction, Non-carotid Embolic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Brain Infarction, Thrombotic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85.4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85.4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98.6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99.3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Brain Hemorrhage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93.3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93.3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</w:tr>
      <w:tr w:rsidR="00097346" w:rsidTr="005772EE">
        <w:trPr>
          <w:cantSplit/>
        </w:trPr>
        <w:tc>
          <w:tcPr>
            <w:tcW w:w="327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Subarachnoid Hemorrhage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97346" w:rsidRDefault="00097346" w:rsidP="005772E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</w:tr>
    </w:tbl>
    <w:p w:rsidR="004442E2" w:rsidRDefault="004442E2" w:rsidP="00376634">
      <w:pPr>
        <w:rPr>
          <w:rFonts w:ascii="Times New Roman" w:hAnsi="Times New Roman" w:cs="Times New Roman"/>
          <w:b/>
        </w:rPr>
      </w:pPr>
    </w:p>
    <w:p w:rsidR="00376634" w:rsidRDefault="00376634" w:rsidP="00376634">
      <w:pPr>
        <w:rPr>
          <w:rFonts w:ascii="Times New Roman" w:hAnsi="Times New Roman" w:cs="Times New Roman"/>
        </w:rPr>
      </w:pPr>
      <w:r w:rsidRPr="00580C6C">
        <w:rPr>
          <w:rFonts w:ascii="Times New Roman" w:hAnsi="Times New Roman" w:cs="Times New Roman"/>
          <w:b/>
        </w:rPr>
        <w:lastRenderedPageBreak/>
        <w:t>Summary</w:t>
      </w:r>
      <w:r w:rsidRPr="00580C6C">
        <w:rPr>
          <w:rFonts w:ascii="Times New Roman" w:hAnsi="Times New Roman" w:cs="Times New Roman"/>
        </w:rPr>
        <w:t xml:space="preserve">: </w:t>
      </w:r>
      <w:r w:rsidR="00B12E55" w:rsidRPr="00580C6C">
        <w:rPr>
          <w:rFonts w:ascii="Times New Roman" w:hAnsi="Times New Roman" w:cs="Times New Roman"/>
        </w:rPr>
        <w:t xml:space="preserve">The majority of </w:t>
      </w:r>
      <w:r w:rsidRPr="00580C6C">
        <w:rPr>
          <w:rFonts w:ascii="Times New Roman" w:hAnsi="Times New Roman" w:cs="Times New Roman"/>
        </w:rPr>
        <w:t>adjudicated probable or definite Stroke events recorded from 2000-</w:t>
      </w:r>
      <w:r w:rsidR="00B12E55" w:rsidRPr="00580C6C">
        <w:rPr>
          <w:rFonts w:ascii="Times New Roman" w:hAnsi="Times New Roman" w:cs="Times New Roman"/>
        </w:rPr>
        <w:t>201</w:t>
      </w:r>
      <w:r w:rsidR="004442E2">
        <w:rPr>
          <w:rFonts w:ascii="Times New Roman" w:hAnsi="Times New Roman" w:cs="Times New Roman"/>
        </w:rPr>
        <w:t>2</w:t>
      </w:r>
      <w:r w:rsidR="00B12E55" w:rsidRPr="00580C6C">
        <w:rPr>
          <w:rFonts w:ascii="Times New Roman" w:hAnsi="Times New Roman" w:cs="Times New Roman"/>
        </w:rPr>
        <w:t xml:space="preserve"> consist of Thrombotic Brain Infarctions (TIB). </w:t>
      </w:r>
      <w:r w:rsidRPr="00580C6C">
        <w:rPr>
          <w:rFonts w:ascii="Times New Roman" w:hAnsi="Times New Roman" w:cs="Times New Roman"/>
        </w:rPr>
        <w:t xml:space="preserve"> </w:t>
      </w:r>
    </w:p>
    <w:p w:rsidR="005D2AD7" w:rsidRPr="009445A2" w:rsidRDefault="005D2AD7" w:rsidP="009445A2">
      <w:pPr>
        <w:pStyle w:val="ListParagraph"/>
        <w:ind w:left="0"/>
        <w:rPr>
          <w:rFonts w:ascii="Times New Roman" w:hAnsi="Times New Roman" w:cs="Times New Roman"/>
        </w:rPr>
      </w:pPr>
      <w:r w:rsidRPr="009445A2">
        <w:rPr>
          <w:rFonts w:ascii="Times New Roman" w:hAnsi="Times New Roman" w:cs="Times New Roman"/>
          <w:sz w:val="24"/>
          <w:szCs w:val="24"/>
        </w:rPr>
        <w:t>Note: Both tables provides number of participants with 1 or more than 1 stroke events. If one participant has more than one stroke event with multiple stroke types (for example, if one participant have one EIB and one T</w:t>
      </w:r>
      <w:r w:rsidR="00097346">
        <w:rPr>
          <w:rFonts w:ascii="Times New Roman" w:hAnsi="Times New Roman" w:cs="Times New Roman"/>
          <w:sz w:val="24"/>
          <w:szCs w:val="24"/>
        </w:rPr>
        <w:t>IB stroke event until 12/31/2012</w:t>
      </w:r>
      <w:r w:rsidRPr="009445A2">
        <w:rPr>
          <w:rFonts w:ascii="Times New Roman" w:hAnsi="Times New Roman" w:cs="Times New Roman"/>
          <w:sz w:val="24"/>
          <w:szCs w:val="24"/>
        </w:rPr>
        <w:t>), it will be counted twice in the second Table with EIB # Events 1 and TIB # Events 1 but will be only counted once in the first table (# Events 2). So the numbers of events in the two tables do not appear to add up.</w:t>
      </w:r>
      <w:r w:rsidR="009445A2" w:rsidRPr="009445A2">
        <w:rPr>
          <w:rFonts w:ascii="Times New Roman" w:hAnsi="Times New Roman" w:cs="Times New Roman"/>
          <w:sz w:val="24"/>
          <w:szCs w:val="24"/>
        </w:rPr>
        <w:t xml:space="preserve"> But the total number of stroke events </w:t>
      </w:r>
      <w:r w:rsidR="00243A1A">
        <w:rPr>
          <w:rFonts w:ascii="Times New Roman" w:hAnsi="Times New Roman" w:cs="Times New Roman"/>
          <w:sz w:val="24"/>
          <w:szCs w:val="24"/>
        </w:rPr>
        <w:t>in both tables are the same (170 × 1 + 2 × 23 + 3 × 3 + 1 × 4 = 42 × 1 + 123 × 1 + 19</w:t>
      </w:r>
      <w:r w:rsidR="009445A2" w:rsidRPr="009445A2">
        <w:rPr>
          <w:rFonts w:ascii="Times New Roman" w:hAnsi="Times New Roman" w:cs="Times New Roman"/>
          <w:sz w:val="24"/>
          <w:szCs w:val="24"/>
        </w:rPr>
        <w:t xml:space="preserve"> × </w:t>
      </w:r>
      <w:r w:rsidR="00125DEF">
        <w:rPr>
          <w:rFonts w:ascii="Times New Roman" w:hAnsi="Times New Roman" w:cs="Times New Roman"/>
          <w:sz w:val="24"/>
          <w:szCs w:val="24"/>
        </w:rPr>
        <w:t xml:space="preserve">2 + </w:t>
      </w:r>
      <w:r w:rsidR="00243A1A">
        <w:rPr>
          <w:rFonts w:ascii="Times New Roman" w:hAnsi="Times New Roman" w:cs="Times New Roman"/>
          <w:sz w:val="24"/>
          <w:szCs w:val="24"/>
        </w:rPr>
        <w:t xml:space="preserve">1 × 3 + </w:t>
      </w:r>
      <w:r w:rsidR="00125DEF">
        <w:rPr>
          <w:rFonts w:ascii="Times New Roman" w:hAnsi="Times New Roman" w:cs="Times New Roman"/>
          <w:sz w:val="24"/>
          <w:szCs w:val="24"/>
        </w:rPr>
        <w:t>1 ×</w:t>
      </w:r>
      <w:r w:rsidR="00243A1A">
        <w:rPr>
          <w:rFonts w:ascii="Times New Roman" w:hAnsi="Times New Roman" w:cs="Times New Roman"/>
          <w:sz w:val="24"/>
          <w:szCs w:val="24"/>
        </w:rPr>
        <w:t xml:space="preserve"> 4 + 14</w:t>
      </w:r>
      <w:r w:rsidR="00125DEF">
        <w:rPr>
          <w:rFonts w:ascii="Times New Roman" w:hAnsi="Times New Roman" w:cs="Times New Roman"/>
          <w:sz w:val="24"/>
          <w:szCs w:val="24"/>
        </w:rPr>
        <w:t xml:space="preserve"> × 1 + 1 × 2 + 3 × 1 = 2</w:t>
      </w:r>
      <w:r w:rsidR="00243A1A">
        <w:rPr>
          <w:rFonts w:ascii="Times New Roman" w:hAnsi="Times New Roman" w:cs="Times New Roman"/>
          <w:sz w:val="24"/>
          <w:szCs w:val="24"/>
        </w:rPr>
        <w:t>29</w:t>
      </w:r>
      <w:r w:rsidR="009445A2" w:rsidRPr="009445A2">
        <w:rPr>
          <w:rFonts w:ascii="Times New Roman" w:hAnsi="Times New Roman" w:cs="Times New Roman"/>
          <w:sz w:val="24"/>
          <w:szCs w:val="24"/>
        </w:rPr>
        <w:t>).</w:t>
      </w:r>
    </w:p>
    <w:p w:rsidR="00376634" w:rsidRPr="00580C6C" w:rsidRDefault="00376634" w:rsidP="00C37E2E">
      <w:pPr>
        <w:rPr>
          <w:rFonts w:ascii="Times New Roman" w:hAnsi="Times New Roman" w:cs="Times New Roman"/>
        </w:rPr>
      </w:pPr>
    </w:p>
    <w:sectPr w:rsidR="00376634" w:rsidRPr="0058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B7"/>
    <w:rsid w:val="00066585"/>
    <w:rsid w:val="00067965"/>
    <w:rsid w:val="00097346"/>
    <w:rsid w:val="00125DEF"/>
    <w:rsid w:val="001A1BB3"/>
    <w:rsid w:val="001F46ED"/>
    <w:rsid w:val="001F6620"/>
    <w:rsid w:val="0023368F"/>
    <w:rsid w:val="00243A1A"/>
    <w:rsid w:val="002C4A65"/>
    <w:rsid w:val="002C543E"/>
    <w:rsid w:val="002C70BF"/>
    <w:rsid w:val="002F1E8D"/>
    <w:rsid w:val="00312963"/>
    <w:rsid w:val="003302C7"/>
    <w:rsid w:val="00376634"/>
    <w:rsid w:val="003D0110"/>
    <w:rsid w:val="003D472F"/>
    <w:rsid w:val="00436E37"/>
    <w:rsid w:val="004442E2"/>
    <w:rsid w:val="005605C4"/>
    <w:rsid w:val="00580C6C"/>
    <w:rsid w:val="005D2AD7"/>
    <w:rsid w:val="00696A4B"/>
    <w:rsid w:val="006E633D"/>
    <w:rsid w:val="007137EC"/>
    <w:rsid w:val="00760A70"/>
    <w:rsid w:val="00782036"/>
    <w:rsid w:val="00800CD9"/>
    <w:rsid w:val="00841B8C"/>
    <w:rsid w:val="00841FE6"/>
    <w:rsid w:val="00873867"/>
    <w:rsid w:val="008D56E2"/>
    <w:rsid w:val="008E1ED5"/>
    <w:rsid w:val="009445A2"/>
    <w:rsid w:val="00984F84"/>
    <w:rsid w:val="00A93F54"/>
    <w:rsid w:val="00A945DF"/>
    <w:rsid w:val="00B1253A"/>
    <w:rsid w:val="00B12E55"/>
    <w:rsid w:val="00B64DB7"/>
    <w:rsid w:val="00BE7F09"/>
    <w:rsid w:val="00C228AC"/>
    <w:rsid w:val="00C37E2E"/>
    <w:rsid w:val="00C761EC"/>
    <w:rsid w:val="00CB5121"/>
    <w:rsid w:val="00D960A9"/>
    <w:rsid w:val="00DF5AA2"/>
    <w:rsid w:val="00E4097D"/>
    <w:rsid w:val="00E73F0B"/>
    <w:rsid w:val="00EF198A"/>
    <w:rsid w:val="00F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CF0B7-DD60-4F00-9FAE-67F75592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B64D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D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5716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7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Griswold</dc:creator>
  <cp:lastModifiedBy>Chad Blackshear</cp:lastModifiedBy>
  <cp:revision>5</cp:revision>
  <dcterms:created xsi:type="dcterms:W3CDTF">2015-09-09T22:50:00Z</dcterms:created>
  <dcterms:modified xsi:type="dcterms:W3CDTF">2015-12-30T19:57:00Z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