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5136A0">
        <w:rPr>
          <w:b/>
        </w:rPr>
        <w:t>Medications</w:t>
      </w:r>
    </w:p>
    <w:p w:rsidR="00C12234" w:rsidRDefault="00C12234" w:rsidP="00C12234">
      <w:pPr>
        <w:tabs>
          <w:tab w:val="left" w:pos="6105"/>
        </w:tabs>
      </w:pPr>
    </w:p>
    <w:p w:rsidR="008E1590" w:rsidRDefault="00C12234" w:rsidP="00FE0D30">
      <w:pPr>
        <w:tabs>
          <w:tab w:val="left" w:pos="0"/>
        </w:tabs>
      </w:pPr>
      <w:r>
        <w:t xml:space="preserve">The </w:t>
      </w:r>
      <w:r w:rsidR="005136A0">
        <w:t>Supplementary</w:t>
      </w:r>
      <w:r w:rsidR="00FC7470">
        <w:t xml:space="preserve"> Studies folder contains data </w:t>
      </w:r>
      <w:r w:rsidR="005136A0">
        <w:t>created by the coordinating center to add to or improve the existing raw data, including calibration studies, derivation of new analysis variables, generation of code in support of future analyses</w:t>
      </w:r>
      <w:r w:rsidR="00FC7470">
        <w:t>.</w:t>
      </w:r>
      <w:r w:rsidR="00FE0D30">
        <w:t xml:space="preserve"> Currently, only </w:t>
      </w:r>
      <w:r w:rsidR="00BF5FF5">
        <w:t>two</w:t>
      </w:r>
      <w:r w:rsidR="00FE0D30">
        <w:t xml:space="preserve"> dataset</w:t>
      </w:r>
      <w:r w:rsidR="00BF5FF5">
        <w:t>s</w:t>
      </w:r>
      <w:r w:rsidR="00FE0D30">
        <w:t xml:space="preserve"> </w:t>
      </w:r>
      <w:r w:rsidR="00BF5FF5">
        <w:t>are</w:t>
      </w:r>
      <w:r w:rsidR="00FE0D30">
        <w:t xml:space="preserve"> available. As the JHS CCDC receives data from ancillary studies, they will be included in future releases of the Vanguard Center package.</w:t>
      </w:r>
    </w:p>
    <w:p w:rsidR="0063179B" w:rsidRDefault="0063179B" w:rsidP="00FE0D30">
      <w:pPr>
        <w:tabs>
          <w:tab w:val="left" w:pos="0"/>
        </w:tabs>
      </w:pPr>
    </w:p>
    <w:p w:rsidR="0063179B" w:rsidRDefault="0063179B" w:rsidP="00FE0D30">
      <w:pPr>
        <w:tabs>
          <w:tab w:val="left" w:pos="0"/>
        </w:tabs>
      </w:pPr>
      <w:r w:rsidRPr="0063179B">
        <w:t xml:space="preserve">'Medi-Span® therapeutic classification system (Wolters Kluwer Health, </w:t>
      </w:r>
      <w:hyperlink r:id="rId8" w:history="1">
        <w:r w:rsidRPr="00CC3F75">
          <w:rPr>
            <w:rStyle w:val="Hyperlink"/>
          </w:rPr>
          <w:t>www.medispan.com</w:t>
        </w:r>
      </w:hyperlink>
      <w:r w:rsidRPr="0063179B">
        <w:t>)</w:t>
      </w:r>
      <w:r>
        <w:t xml:space="preserve"> was u</w:t>
      </w:r>
      <w:r w:rsidR="00A37C8D">
        <w:t>sed to classify all medications. The breakdown of the TC code is as follows:</w:t>
      </w:r>
    </w:p>
    <w:p w:rsidR="006C036A" w:rsidRDefault="006C036A" w:rsidP="00FE0D30">
      <w:pPr>
        <w:tabs>
          <w:tab w:val="left" w:pos="0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222"/>
        <w:gridCol w:w="284"/>
        <w:gridCol w:w="1153"/>
        <w:gridCol w:w="284"/>
        <w:gridCol w:w="1546"/>
        <w:gridCol w:w="284"/>
        <w:gridCol w:w="1237"/>
      </w:tblGrid>
      <w:tr w:rsidR="00A37C8D" w:rsidTr="006C036A">
        <w:trPr>
          <w:jc w:val="center"/>
        </w:trPr>
        <w:tc>
          <w:tcPr>
            <w:tcW w:w="0" w:type="auto"/>
          </w:tcPr>
          <w:p w:rsidR="00A37C8D" w:rsidRDefault="00A37C8D" w:rsidP="006C036A">
            <w:pPr>
              <w:tabs>
                <w:tab w:val="left" w:pos="0"/>
              </w:tabs>
              <w:jc w:val="center"/>
            </w:pPr>
            <w:r>
              <w:t>XX</w:t>
            </w:r>
          </w:p>
        </w:tc>
        <w:tc>
          <w:tcPr>
            <w:tcW w:w="0" w:type="auto"/>
          </w:tcPr>
          <w:p w:rsidR="00A37C8D" w:rsidRDefault="00A37C8D" w:rsidP="006C036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jc w:val="center"/>
            </w:pPr>
          </w:p>
        </w:tc>
        <w:tc>
          <w:tcPr>
            <w:tcW w:w="0" w:type="auto"/>
          </w:tcPr>
          <w:p w:rsidR="00A37C8D" w:rsidRDefault="00A37C8D" w:rsidP="006C036A">
            <w:pPr>
              <w:tabs>
                <w:tab w:val="left" w:pos="0"/>
              </w:tabs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A37C8D" w:rsidRDefault="00A37C8D" w:rsidP="006C036A">
            <w:pPr>
              <w:tabs>
                <w:tab w:val="left" w:pos="0"/>
              </w:tabs>
              <w:jc w:val="center"/>
            </w:pPr>
            <w:r>
              <w:t>XX</w:t>
            </w:r>
          </w:p>
        </w:tc>
        <w:tc>
          <w:tcPr>
            <w:tcW w:w="0" w:type="auto"/>
          </w:tcPr>
          <w:p w:rsidR="00A37C8D" w:rsidRDefault="00A37C8D" w:rsidP="006C036A">
            <w:pPr>
              <w:tabs>
                <w:tab w:val="left" w:pos="0"/>
              </w:tabs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A37C8D" w:rsidRDefault="00A37C8D" w:rsidP="006C036A">
            <w:pPr>
              <w:tabs>
                <w:tab w:val="left" w:pos="0"/>
              </w:tabs>
              <w:jc w:val="center"/>
            </w:pPr>
            <w:r>
              <w:t>XX</w:t>
            </w:r>
          </w:p>
        </w:tc>
        <w:tc>
          <w:tcPr>
            <w:tcW w:w="0" w:type="auto"/>
          </w:tcPr>
          <w:p w:rsidR="00A37C8D" w:rsidRDefault="00A37C8D" w:rsidP="006C036A">
            <w:pPr>
              <w:tabs>
                <w:tab w:val="left" w:pos="0"/>
              </w:tabs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A37C8D" w:rsidRDefault="00A37C8D" w:rsidP="006C036A">
            <w:pPr>
              <w:tabs>
                <w:tab w:val="left" w:pos="0"/>
              </w:tabs>
              <w:jc w:val="center"/>
            </w:pPr>
            <w:r>
              <w:t>XXXX</w:t>
            </w:r>
          </w:p>
        </w:tc>
      </w:tr>
      <w:tr w:rsidR="00A37C8D" w:rsidTr="006C036A">
        <w:trPr>
          <w:jc w:val="center"/>
        </w:trPr>
        <w:tc>
          <w:tcPr>
            <w:tcW w:w="0" w:type="auto"/>
          </w:tcPr>
          <w:p w:rsidR="00A37C8D" w:rsidRPr="006C036A" w:rsidRDefault="00A37C8D" w:rsidP="006C036A">
            <w:pPr>
              <w:tabs>
                <w:tab w:val="left" w:pos="0"/>
              </w:tabs>
              <w:jc w:val="center"/>
              <w:rPr>
                <w:i/>
              </w:rPr>
            </w:pPr>
            <w:r w:rsidRPr="006C036A">
              <w:rPr>
                <w:i/>
              </w:rPr>
              <w:t>Drug Group</w:t>
            </w:r>
          </w:p>
        </w:tc>
        <w:tc>
          <w:tcPr>
            <w:tcW w:w="0" w:type="auto"/>
          </w:tcPr>
          <w:p w:rsidR="00A37C8D" w:rsidRPr="006C036A" w:rsidRDefault="00A37C8D" w:rsidP="006C036A">
            <w:pPr>
              <w:tabs>
                <w:tab w:val="left" w:pos="0"/>
              </w:tabs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A37C8D" w:rsidRPr="006C036A" w:rsidRDefault="00A37C8D" w:rsidP="006C036A">
            <w:pPr>
              <w:tabs>
                <w:tab w:val="left" w:pos="0"/>
              </w:tabs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A37C8D" w:rsidRPr="006C036A" w:rsidRDefault="00A37C8D" w:rsidP="006C036A">
            <w:pPr>
              <w:tabs>
                <w:tab w:val="left" w:pos="0"/>
              </w:tabs>
              <w:jc w:val="center"/>
              <w:rPr>
                <w:i/>
              </w:rPr>
            </w:pPr>
            <w:r w:rsidRPr="006C036A">
              <w:rPr>
                <w:i/>
              </w:rPr>
              <w:t>Drug Class</w:t>
            </w:r>
          </w:p>
        </w:tc>
        <w:tc>
          <w:tcPr>
            <w:tcW w:w="0" w:type="auto"/>
          </w:tcPr>
          <w:p w:rsidR="00A37C8D" w:rsidRPr="006C036A" w:rsidRDefault="00A37C8D" w:rsidP="006C036A">
            <w:pPr>
              <w:tabs>
                <w:tab w:val="left" w:pos="0"/>
              </w:tabs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A37C8D" w:rsidRPr="006C036A" w:rsidRDefault="00A37C8D" w:rsidP="006C036A">
            <w:pPr>
              <w:tabs>
                <w:tab w:val="left" w:pos="0"/>
              </w:tabs>
              <w:jc w:val="center"/>
              <w:rPr>
                <w:i/>
              </w:rPr>
            </w:pPr>
            <w:r w:rsidRPr="006C036A">
              <w:rPr>
                <w:i/>
              </w:rPr>
              <w:t>Drug Sub-Class</w:t>
            </w:r>
          </w:p>
        </w:tc>
        <w:tc>
          <w:tcPr>
            <w:tcW w:w="0" w:type="auto"/>
          </w:tcPr>
          <w:p w:rsidR="00A37C8D" w:rsidRPr="006C036A" w:rsidRDefault="00A37C8D" w:rsidP="006C036A">
            <w:pPr>
              <w:tabs>
                <w:tab w:val="left" w:pos="0"/>
              </w:tabs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A37C8D" w:rsidRPr="006C036A" w:rsidRDefault="00A37C8D" w:rsidP="006C036A">
            <w:pPr>
              <w:tabs>
                <w:tab w:val="left" w:pos="0"/>
              </w:tabs>
              <w:jc w:val="center"/>
              <w:rPr>
                <w:i/>
              </w:rPr>
            </w:pPr>
            <w:r w:rsidRPr="006C036A">
              <w:rPr>
                <w:i/>
              </w:rPr>
              <w:t>Drug Name</w:t>
            </w:r>
          </w:p>
        </w:tc>
      </w:tr>
    </w:tbl>
    <w:p w:rsidR="0063179B" w:rsidRDefault="0063179B" w:rsidP="005136A0"/>
    <w:p w:rsidR="00FE2B2F" w:rsidRDefault="0063179B" w:rsidP="0063179B">
      <w:r>
        <w:rPr>
          <w:u w:val="single"/>
        </w:rPr>
        <w:t>medicationsWide</w:t>
      </w:r>
      <w:r>
        <w:t>:</w:t>
      </w:r>
      <w:r w:rsidR="00BF5FF5">
        <w:t xml:space="preserve"> </w:t>
      </w:r>
      <w:r w:rsidR="00750438">
        <w:t xml:space="preserve">a dataset that </w:t>
      </w:r>
      <w:r w:rsidR="00F4317A">
        <w:t>variables indicating</w:t>
      </w:r>
      <w:r w:rsidR="00750438">
        <w:t>:</w:t>
      </w:r>
    </w:p>
    <w:p w:rsidR="00F4317A" w:rsidRDefault="00F4317A" w:rsidP="0063179B"/>
    <w:p w:rsidR="00750438" w:rsidRDefault="00F4317A" w:rsidP="00750438">
      <w:pPr>
        <w:pStyle w:val="ListParagraph"/>
        <w:numPr>
          <w:ilvl w:val="0"/>
          <w:numId w:val="2"/>
        </w:numPr>
      </w:pPr>
      <w:r>
        <w:t>The n</w:t>
      </w:r>
      <w:r w:rsidR="00750438">
        <w:t xml:space="preserve">umber of </w:t>
      </w:r>
      <w:r w:rsidR="00750438">
        <w:rPr>
          <w:i/>
          <w:u w:val="single"/>
        </w:rPr>
        <w:t xml:space="preserve">medication </w:t>
      </w:r>
      <w:r>
        <w:rPr>
          <w:i/>
          <w:u w:val="single"/>
        </w:rPr>
        <w:t>type</w:t>
      </w:r>
      <w:r w:rsidR="00750438">
        <w:t xml:space="preserve"> taken at Exam </w:t>
      </w:r>
      <w:r w:rsidR="00750438" w:rsidRPr="00750438">
        <w:rPr>
          <w:i/>
          <w:u w:val="single"/>
        </w:rPr>
        <w:t>number</w:t>
      </w:r>
      <w:r w:rsidR="00750438">
        <w:t xml:space="preserve">  – one variable for </w:t>
      </w:r>
      <w:r w:rsidR="00750438" w:rsidRPr="008A2D56">
        <w:rPr>
          <w:b/>
        </w:rPr>
        <w:t>each</w:t>
      </w:r>
      <w:r w:rsidR="00750438">
        <w:t xml:space="preserve"> exam visit</w:t>
      </w:r>
    </w:p>
    <w:p w:rsidR="00750438" w:rsidRDefault="00F4317A" w:rsidP="00750438">
      <w:pPr>
        <w:pStyle w:val="ListParagraph"/>
        <w:numPr>
          <w:ilvl w:val="0"/>
          <w:numId w:val="2"/>
        </w:numPr>
      </w:pPr>
      <w:r w:rsidRPr="00F4317A">
        <w:t xml:space="preserve">The </w:t>
      </w:r>
      <w:r>
        <w:rPr>
          <w:i/>
          <w:u w:val="single"/>
        </w:rPr>
        <w:t>m</w:t>
      </w:r>
      <w:r w:rsidR="00750438">
        <w:rPr>
          <w:i/>
          <w:u w:val="single"/>
        </w:rPr>
        <w:t>edication super group</w:t>
      </w:r>
      <w:r w:rsidR="00750438">
        <w:t xml:space="preserve"> taken at Exam </w:t>
      </w:r>
      <w:r w:rsidR="00750438" w:rsidRPr="00750438">
        <w:rPr>
          <w:i/>
          <w:u w:val="single"/>
        </w:rPr>
        <w:t>number</w:t>
      </w:r>
      <w:r w:rsidR="00750438">
        <w:t xml:space="preserve"> – one variable for </w:t>
      </w:r>
      <w:r w:rsidR="00750438" w:rsidRPr="008A2D56">
        <w:rPr>
          <w:b/>
        </w:rPr>
        <w:t>each</w:t>
      </w:r>
      <w:r w:rsidR="00750438">
        <w:t xml:space="preserve"> exam visit </w:t>
      </w:r>
    </w:p>
    <w:p w:rsidR="00750438" w:rsidRDefault="00F4317A" w:rsidP="00750438">
      <w:pPr>
        <w:pStyle w:val="ListParagraph"/>
        <w:numPr>
          <w:ilvl w:val="0"/>
          <w:numId w:val="2"/>
        </w:numPr>
      </w:pPr>
      <w:r>
        <w:t>The n</w:t>
      </w:r>
      <w:r w:rsidR="00750438">
        <w:t xml:space="preserve">umber of </w:t>
      </w:r>
      <w:r>
        <w:t>e</w:t>
      </w:r>
      <w:r w:rsidR="00750438">
        <w:t xml:space="preserve">xams that </w:t>
      </w:r>
      <w:r w:rsidR="00750438">
        <w:rPr>
          <w:i/>
          <w:u w:val="single"/>
        </w:rPr>
        <w:t>medication super group</w:t>
      </w:r>
      <w:r w:rsidR="00750438">
        <w:t xml:space="preserve"> were taken</w:t>
      </w:r>
      <w:r w:rsidR="008A2D56">
        <w:t xml:space="preserve"> – one variable for </w:t>
      </w:r>
      <w:r w:rsidR="008A2D56">
        <w:rPr>
          <w:b/>
        </w:rPr>
        <w:t>all</w:t>
      </w:r>
      <w:r w:rsidR="008A2D56">
        <w:t xml:space="preserve"> exam visits</w:t>
      </w:r>
    </w:p>
    <w:p w:rsidR="00F4317A" w:rsidRDefault="00F4317A" w:rsidP="00F4317A">
      <w:pPr>
        <w:ind w:left="1620"/>
      </w:pPr>
    </w:p>
    <w:p w:rsidR="00F4317A" w:rsidRDefault="00F4317A" w:rsidP="00F4317A">
      <w:pPr>
        <w:ind w:left="1620"/>
      </w:pPr>
      <w:r>
        <w:t xml:space="preserve">For each of the three exam visits and </w:t>
      </w:r>
      <w:r w:rsidR="0022628F">
        <w:t xml:space="preserve">each of </w:t>
      </w:r>
      <w:r>
        <w:t>the following medication types:</w:t>
      </w:r>
    </w:p>
    <w:p w:rsidR="00F4317A" w:rsidRDefault="00F4317A" w:rsidP="00F4317A">
      <w:pPr>
        <w:ind w:left="1620"/>
      </w:pPr>
    </w:p>
    <w:p w:rsidR="00F4317A" w:rsidRDefault="00F4317A" w:rsidP="00F4317A">
      <w:pPr>
        <w:pStyle w:val="ListParagraph"/>
        <w:numPr>
          <w:ilvl w:val="0"/>
          <w:numId w:val="3"/>
        </w:numPr>
      </w:pPr>
      <w:r>
        <w:t>Super Groups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Anti-Infective Agents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Biologicals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Antineoplastic Agents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Endocrine &amp; Metabolic Drugs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Cardiovascular Agents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Respiratory Agents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Gastrointestinal Agents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Genitourinary Products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Central Nervous System Drugs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lastRenderedPageBreak/>
        <w:t>Analgesics &amp; Anesthetics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Neuromuscular Drugs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Nutritional Products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Hematological Agents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Topical Products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>
        <w:t>Miscellaneous Products</w:t>
      </w:r>
    </w:p>
    <w:p w:rsidR="00F4317A" w:rsidRDefault="00F4317A" w:rsidP="00F4317A">
      <w:pPr>
        <w:pStyle w:val="ListParagraph"/>
        <w:numPr>
          <w:ilvl w:val="0"/>
          <w:numId w:val="4"/>
        </w:numPr>
      </w:pPr>
      <w:r>
        <w:t>Groups</w:t>
      </w:r>
      <w:r w:rsidR="0022628F">
        <w:t xml:space="preserve"> - Classes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 w:rsidRPr="00F4317A">
        <w:t>Antidiabetic</w:t>
      </w:r>
    </w:p>
    <w:p w:rsidR="0022628F" w:rsidRDefault="0022628F" w:rsidP="0022628F">
      <w:pPr>
        <w:pStyle w:val="ListParagraph"/>
        <w:numPr>
          <w:ilvl w:val="2"/>
          <w:numId w:val="4"/>
        </w:numPr>
      </w:pPr>
      <w:r w:rsidRPr="00F4317A">
        <w:t>Oral</w:t>
      </w:r>
    </w:p>
    <w:p w:rsidR="0022628F" w:rsidRDefault="0022628F" w:rsidP="0022628F">
      <w:pPr>
        <w:pStyle w:val="ListParagraph"/>
        <w:numPr>
          <w:ilvl w:val="2"/>
          <w:numId w:val="4"/>
        </w:numPr>
      </w:pPr>
      <w:r w:rsidRPr="00F4317A">
        <w:t>Insulin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 w:rsidRPr="00F4317A">
        <w:t>Beta Blockers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 w:rsidRPr="00F4317A">
        <w:t>Calcium Blockers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 w:rsidRPr="00F4317A">
        <w:t>Antiarrhythmic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 w:rsidRPr="00F4317A">
        <w:t>Antihypertensive</w:t>
      </w:r>
    </w:p>
    <w:p w:rsidR="0022628F" w:rsidRDefault="0022628F" w:rsidP="0022628F">
      <w:pPr>
        <w:pStyle w:val="ListParagraph"/>
        <w:numPr>
          <w:ilvl w:val="2"/>
          <w:numId w:val="4"/>
        </w:numPr>
      </w:pPr>
      <w:r w:rsidRPr="00F4317A">
        <w:t>ACE</w:t>
      </w:r>
    </w:p>
    <w:p w:rsidR="0022628F" w:rsidRDefault="0022628F" w:rsidP="0022628F">
      <w:pPr>
        <w:pStyle w:val="ListParagraph"/>
        <w:numPr>
          <w:ilvl w:val="2"/>
          <w:numId w:val="4"/>
        </w:numPr>
      </w:pPr>
      <w:r w:rsidRPr="00F4317A">
        <w:t>ARB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 w:rsidRPr="00F4317A">
        <w:t>Diuretics</w:t>
      </w:r>
    </w:p>
    <w:p w:rsidR="00F4317A" w:rsidRDefault="00F4317A" w:rsidP="00F4317A">
      <w:pPr>
        <w:pStyle w:val="ListParagraph"/>
        <w:numPr>
          <w:ilvl w:val="1"/>
          <w:numId w:val="4"/>
        </w:numPr>
      </w:pPr>
      <w:r w:rsidRPr="00F4317A">
        <w:t>Antihyperlipidemic</w:t>
      </w:r>
    </w:p>
    <w:p w:rsidR="0022628F" w:rsidRDefault="0022628F" w:rsidP="0022628F">
      <w:pPr>
        <w:pStyle w:val="ListParagraph"/>
        <w:numPr>
          <w:ilvl w:val="2"/>
          <w:numId w:val="4"/>
        </w:numPr>
      </w:pPr>
      <w:r w:rsidRPr="00F4317A">
        <w:t>HMG CoA Reductase Inhibitors (Statins)</w:t>
      </w:r>
    </w:p>
    <w:p w:rsidR="00F4317A" w:rsidRPr="00F4317A" w:rsidRDefault="00F4317A" w:rsidP="0022628F">
      <w:pPr>
        <w:pStyle w:val="ListParagraph"/>
        <w:numPr>
          <w:ilvl w:val="1"/>
          <w:numId w:val="4"/>
        </w:numPr>
      </w:pPr>
      <w:r w:rsidRPr="00F4317A">
        <w:t>Estrogens Contraceptives &amp; Progestins</w:t>
      </w:r>
    </w:p>
    <w:sectPr w:rsidR="00F4317A" w:rsidRPr="00F4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BEF" w:rsidRDefault="00616BEF" w:rsidP="00F22ABC">
      <w:r>
        <w:separator/>
      </w:r>
    </w:p>
  </w:endnote>
  <w:endnote w:type="continuationSeparator" w:id="0">
    <w:p w:rsidR="00616BEF" w:rsidRDefault="00616BEF" w:rsidP="00F2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BEF" w:rsidRDefault="00616BEF" w:rsidP="00F22ABC">
      <w:r>
        <w:separator/>
      </w:r>
    </w:p>
  </w:footnote>
  <w:footnote w:type="continuationSeparator" w:id="0">
    <w:p w:rsidR="00616BEF" w:rsidRDefault="00616BEF" w:rsidP="00F2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C32"/>
    <w:multiLevelType w:val="hybridMultilevel"/>
    <w:tmpl w:val="C6228702"/>
    <w:lvl w:ilvl="0" w:tplc="C59C850A">
      <w:start w:val="1"/>
      <w:numFmt w:val="upperRoman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28A0339F"/>
    <w:multiLevelType w:val="hybridMultilevel"/>
    <w:tmpl w:val="669ABC4E"/>
    <w:lvl w:ilvl="0" w:tplc="E9E6D9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74FD"/>
    <w:multiLevelType w:val="hybridMultilevel"/>
    <w:tmpl w:val="CC36CA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53CB5AC0"/>
    <w:multiLevelType w:val="hybridMultilevel"/>
    <w:tmpl w:val="7BF609C8"/>
    <w:lvl w:ilvl="0" w:tplc="C59C850A">
      <w:start w:val="1"/>
      <w:numFmt w:val="upperRoman"/>
      <w:lvlText w:val="%1."/>
      <w:lvlJc w:val="left"/>
      <w:pPr>
        <w:ind w:left="23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060" w:hanging="360"/>
      </w:pPr>
    </w:lvl>
    <w:lvl w:ilvl="2" w:tplc="04090019">
      <w:start w:val="1"/>
      <w:numFmt w:val="lowerLetter"/>
      <w:lvlText w:val="%3."/>
      <w:lvlJc w:val="lef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22628F"/>
    <w:rsid w:val="005136A0"/>
    <w:rsid w:val="005717BF"/>
    <w:rsid w:val="00616BEF"/>
    <w:rsid w:val="0063179B"/>
    <w:rsid w:val="00642A06"/>
    <w:rsid w:val="0068675D"/>
    <w:rsid w:val="006C036A"/>
    <w:rsid w:val="006D0891"/>
    <w:rsid w:val="00750438"/>
    <w:rsid w:val="00783C0E"/>
    <w:rsid w:val="00784E99"/>
    <w:rsid w:val="00796388"/>
    <w:rsid w:val="00840748"/>
    <w:rsid w:val="00846248"/>
    <w:rsid w:val="00850DEB"/>
    <w:rsid w:val="00894518"/>
    <w:rsid w:val="008A2D56"/>
    <w:rsid w:val="008B3BCA"/>
    <w:rsid w:val="008E585D"/>
    <w:rsid w:val="00A37C8D"/>
    <w:rsid w:val="00BF5FF5"/>
    <w:rsid w:val="00C12234"/>
    <w:rsid w:val="00C91271"/>
    <w:rsid w:val="00E95AE1"/>
    <w:rsid w:val="00F22ABC"/>
    <w:rsid w:val="00F4317A"/>
    <w:rsid w:val="00FC7470"/>
    <w:rsid w:val="00FE0D30"/>
    <w:rsid w:val="00F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27D12-267B-47C1-B234-0C0F38C7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ABC"/>
  </w:style>
  <w:style w:type="paragraph" w:styleId="Footer">
    <w:name w:val="footer"/>
    <w:basedOn w:val="Normal"/>
    <w:link w:val="FooterChar"/>
    <w:uiPriority w:val="99"/>
    <w:unhideWhenUsed/>
    <w:rsid w:val="00F22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ABC"/>
  </w:style>
  <w:style w:type="character" w:customStyle="1" w:styleId="apple-converted-space">
    <w:name w:val="apple-converted-space"/>
    <w:basedOn w:val="DefaultParagraphFont"/>
    <w:rsid w:val="00F22ABC"/>
  </w:style>
  <w:style w:type="character" w:styleId="Emphasis">
    <w:name w:val="Emphasis"/>
    <w:basedOn w:val="DefaultParagraphFont"/>
    <w:uiPriority w:val="20"/>
    <w:qFormat/>
    <w:rsid w:val="00F22ABC"/>
    <w:rPr>
      <w:i/>
      <w:iCs/>
    </w:rPr>
  </w:style>
  <w:style w:type="table" w:styleId="TableGrid">
    <w:name w:val="Table Grid"/>
    <w:basedOn w:val="TableNormal"/>
    <w:uiPriority w:val="59"/>
    <w:rsid w:val="006C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3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C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4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spa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9</cp:revision>
  <dcterms:created xsi:type="dcterms:W3CDTF">2014-12-12T19:22:00Z</dcterms:created>
  <dcterms:modified xsi:type="dcterms:W3CDTF">2015-12-30T19:59:00Z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