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B8" w:rsidRDefault="003314DC" w:rsidP="00003048">
      <w:pPr>
        <w:pStyle w:val="Heading1"/>
      </w:pPr>
      <w:r>
        <w:t xml:space="preserve">Data </w:t>
      </w:r>
      <w:r w:rsidR="00EA6FE5">
        <w:t>dictionary</w:t>
      </w:r>
      <w:r>
        <w:t xml:space="preserve"> o</w:t>
      </w:r>
      <w:r w:rsidR="00570D0F">
        <w:t>f</w:t>
      </w:r>
      <w:r>
        <w:t xml:space="preserve"> </w:t>
      </w:r>
      <w:r w:rsidR="00755F9B">
        <w:t>JHS</w:t>
      </w:r>
      <w:r w:rsidR="009C08EC">
        <w:t xml:space="preserve"> neighborhood and census</w:t>
      </w:r>
      <w:r w:rsidR="00D5135C">
        <w:t xml:space="preserve"> data </w:t>
      </w:r>
    </w:p>
    <w:p w:rsidR="00003048" w:rsidRPr="00003048" w:rsidRDefault="00003048" w:rsidP="00003048"/>
    <w:p w:rsidR="00003048" w:rsidRDefault="005F535C" w:rsidP="00DE0787">
      <w:pPr>
        <w:rPr>
          <w:rFonts w:ascii="Arial" w:hAnsi="Arial" w:cs="Arial"/>
        </w:rPr>
      </w:pPr>
      <w:r>
        <w:rPr>
          <w:rFonts w:ascii="Arial" w:hAnsi="Arial" w:cs="Arial"/>
        </w:rPr>
        <w:t>Jackson Heart Study (</w:t>
      </w:r>
      <w:r w:rsidR="00BA01D0">
        <w:rPr>
          <w:rFonts w:ascii="Arial" w:hAnsi="Arial" w:cs="Arial"/>
        </w:rPr>
        <w:t>JHS</w:t>
      </w:r>
      <w:r>
        <w:rPr>
          <w:rFonts w:ascii="Arial" w:hAnsi="Arial" w:cs="Arial"/>
        </w:rPr>
        <w:t>)</w:t>
      </w:r>
      <w:r w:rsidR="00BA01D0">
        <w:rPr>
          <w:rFonts w:ascii="Arial" w:hAnsi="Arial" w:cs="Arial"/>
        </w:rPr>
        <w:t xml:space="preserve"> neighborhood and census</w:t>
      </w:r>
      <w:r w:rsidR="008B5BD5">
        <w:rPr>
          <w:rFonts w:ascii="Arial" w:hAnsi="Arial" w:cs="Arial"/>
        </w:rPr>
        <w:t xml:space="preserve"> data contains</w:t>
      </w:r>
      <w:r w:rsidR="004B6DAD">
        <w:rPr>
          <w:rFonts w:ascii="Arial" w:hAnsi="Arial" w:cs="Arial"/>
        </w:rPr>
        <w:t xml:space="preserve"> </w:t>
      </w:r>
      <w:r w:rsidR="008B5BD5">
        <w:rPr>
          <w:rFonts w:ascii="Arial" w:hAnsi="Arial" w:cs="Arial"/>
        </w:rPr>
        <w:t>the neighborhood</w:t>
      </w:r>
      <w:r>
        <w:rPr>
          <w:rFonts w:ascii="Arial" w:hAnsi="Arial" w:cs="Arial"/>
        </w:rPr>
        <w:t xml:space="preserve"> and US census</w:t>
      </w:r>
      <w:r w:rsidR="008B5BD5">
        <w:rPr>
          <w:rFonts w:ascii="Arial" w:hAnsi="Arial" w:cs="Arial"/>
        </w:rPr>
        <w:t xml:space="preserve"> </w:t>
      </w:r>
      <w:r w:rsidR="004B6DAD">
        <w:rPr>
          <w:rFonts w:ascii="Arial" w:hAnsi="Arial" w:cs="Arial"/>
        </w:rPr>
        <w:t xml:space="preserve">information </w:t>
      </w:r>
      <w:r w:rsidR="008B5BD5">
        <w:rPr>
          <w:rFonts w:ascii="Arial" w:hAnsi="Arial" w:cs="Arial"/>
        </w:rPr>
        <w:t>of JHS par</w:t>
      </w:r>
      <w:r w:rsidR="00F14EB7">
        <w:rPr>
          <w:rFonts w:ascii="Arial" w:hAnsi="Arial" w:cs="Arial"/>
        </w:rPr>
        <w:t>ticipants at the time when they participated in</w:t>
      </w:r>
      <w:r w:rsidR="00C76DCF">
        <w:rPr>
          <w:rFonts w:ascii="Arial" w:hAnsi="Arial" w:cs="Arial"/>
        </w:rPr>
        <w:t xml:space="preserve"> </w:t>
      </w:r>
      <w:r w:rsidR="008B5BD5">
        <w:rPr>
          <w:rFonts w:ascii="Arial" w:hAnsi="Arial" w:cs="Arial"/>
        </w:rPr>
        <w:t>JHS exam 1 and exam 2.</w:t>
      </w:r>
      <w:r w:rsidR="00F14EB7">
        <w:rPr>
          <w:rFonts w:ascii="Arial" w:hAnsi="Arial" w:cs="Arial"/>
        </w:rPr>
        <w:t xml:space="preserve"> Each row represents a participant-exam combination. </w:t>
      </w:r>
      <w:r w:rsidR="008B5BD5">
        <w:rPr>
          <w:rFonts w:ascii="Arial" w:hAnsi="Arial" w:cs="Arial"/>
        </w:rPr>
        <w:t xml:space="preserve"> </w:t>
      </w:r>
      <w:r w:rsidR="00F14EB7">
        <w:rPr>
          <w:rFonts w:ascii="Arial" w:hAnsi="Arial" w:cs="Arial"/>
        </w:rPr>
        <w:t>Addresses were obtained from JHS exams or follow ups.  For exam 1, addresses are based on exam 1 addresses. For exam 2, the address for the closest follow</w:t>
      </w:r>
      <w:r w:rsidR="00D641D1">
        <w:rPr>
          <w:rFonts w:ascii="Arial" w:hAnsi="Arial" w:cs="Arial"/>
        </w:rPr>
        <w:t>-</w:t>
      </w:r>
      <w:r w:rsidR="00F14EB7">
        <w:rPr>
          <w:rFonts w:ascii="Arial" w:hAnsi="Arial" w:cs="Arial"/>
        </w:rPr>
        <w:t>up was attributed to the time of the exam</w:t>
      </w:r>
      <w:r w:rsidR="00A52D2A">
        <w:rPr>
          <w:rFonts w:ascii="Arial" w:hAnsi="Arial" w:cs="Arial"/>
        </w:rPr>
        <w:t xml:space="preserve"> (see </w:t>
      </w:r>
      <w:r w:rsidR="00F147A8">
        <w:rPr>
          <w:rFonts w:ascii="Arial" w:hAnsi="Arial" w:cs="Arial"/>
        </w:rPr>
        <w:t xml:space="preserve">address document: </w:t>
      </w:r>
      <w:r w:rsidR="00CC2211" w:rsidRPr="00572EB8">
        <w:rPr>
          <w:rFonts w:ascii="Arial" w:hAnsi="Arial" w:cs="Arial"/>
          <w:i/>
        </w:rPr>
        <w:t>JHS addresses and NETS geocode_documentation.doc</w:t>
      </w:r>
      <w:r w:rsidR="00CC2211" w:rsidRPr="00CC2211" w:rsidDel="00CC2211">
        <w:rPr>
          <w:rFonts w:ascii="Arial" w:hAnsi="Arial" w:cs="Arial"/>
        </w:rPr>
        <w:t xml:space="preserve"> </w:t>
      </w:r>
      <w:r w:rsidR="00A52D2A">
        <w:rPr>
          <w:rFonts w:ascii="Arial" w:hAnsi="Arial" w:cs="Arial"/>
        </w:rPr>
        <w:t>for details)</w:t>
      </w:r>
      <w:bookmarkStart w:id="0" w:name="_GoBack"/>
      <w:bookmarkEnd w:id="0"/>
      <w:r w:rsidR="00572EB8">
        <w:rPr>
          <w:rFonts w:ascii="Arial" w:hAnsi="Arial" w:cs="Arial"/>
        </w:rPr>
        <w:t xml:space="preserve">. </w:t>
      </w:r>
      <w:r w:rsidR="00F14EB7">
        <w:rPr>
          <w:rFonts w:ascii="Arial" w:hAnsi="Arial" w:cs="Arial"/>
        </w:rPr>
        <w:t xml:space="preserve">The </w:t>
      </w:r>
      <w:r w:rsidR="008B5BD5">
        <w:rPr>
          <w:rFonts w:ascii="Arial" w:hAnsi="Arial" w:cs="Arial"/>
        </w:rPr>
        <w:t xml:space="preserve">dataset contains </w:t>
      </w:r>
      <w:r w:rsidR="00F14EB7">
        <w:rPr>
          <w:rFonts w:ascii="Arial" w:hAnsi="Arial" w:cs="Arial"/>
        </w:rPr>
        <w:t xml:space="preserve">a series of neighborhood variables created based on a survey on neighborhoods administered to JHS participants </w:t>
      </w:r>
      <w:r w:rsidR="00DE0787" w:rsidRPr="00F226E7">
        <w:rPr>
          <w:rFonts w:ascii="Arial" w:hAnsi="Arial" w:cs="Arial"/>
        </w:rPr>
        <w:t xml:space="preserve">and </w:t>
      </w:r>
      <w:r w:rsidR="00CB4905">
        <w:rPr>
          <w:rFonts w:ascii="Arial" w:hAnsi="Arial" w:cs="Arial"/>
        </w:rPr>
        <w:t>neighbor</w:t>
      </w:r>
      <w:r w:rsidR="00D57865">
        <w:rPr>
          <w:rFonts w:ascii="Arial" w:hAnsi="Arial" w:cs="Arial"/>
        </w:rPr>
        <w:t>hood</w:t>
      </w:r>
      <w:r w:rsidR="00CB4905">
        <w:rPr>
          <w:rFonts w:ascii="Arial" w:hAnsi="Arial" w:cs="Arial"/>
        </w:rPr>
        <w:t xml:space="preserve"> census information based on </w:t>
      </w:r>
      <w:r w:rsidR="004B6DAD">
        <w:rPr>
          <w:rFonts w:ascii="Arial" w:hAnsi="Arial" w:cs="Arial"/>
        </w:rPr>
        <w:t xml:space="preserve">US </w:t>
      </w:r>
      <w:r w:rsidR="00DE0787" w:rsidRPr="00F226E7">
        <w:rPr>
          <w:rFonts w:ascii="Arial" w:hAnsi="Arial" w:cs="Arial"/>
        </w:rPr>
        <w:t>census information from US Census 2000</w:t>
      </w:r>
      <w:r w:rsidR="00F14EB7">
        <w:rPr>
          <w:rFonts w:ascii="Arial" w:hAnsi="Arial" w:cs="Arial"/>
        </w:rPr>
        <w:t>,</w:t>
      </w:r>
      <w:r w:rsidR="00DE0787" w:rsidRPr="00F226E7">
        <w:rPr>
          <w:rFonts w:ascii="Arial" w:hAnsi="Arial" w:cs="Arial"/>
        </w:rPr>
        <w:t xml:space="preserve"> </w:t>
      </w:r>
      <w:r w:rsidR="00F14EB7">
        <w:rPr>
          <w:rFonts w:ascii="Arial" w:hAnsi="Arial" w:cs="Arial"/>
        </w:rPr>
        <w:t xml:space="preserve">the </w:t>
      </w:r>
      <w:r w:rsidR="00DE0787" w:rsidRPr="00F226E7">
        <w:rPr>
          <w:rFonts w:ascii="Arial" w:hAnsi="Arial" w:cs="Arial"/>
        </w:rPr>
        <w:t>ACS</w:t>
      </w:r>
      <w:r w:rsidR="008A2504" w:rsidRPr="00F226E7">
        <w:rPr>
          <w:rFonts w:ascii="Arial" w:hAnsi="Arial" w:cs="Arial"/>
        </w:rPr>
        <w:t xml:space="preserve"> </w:t>
      </w:r>
      <w:r w:rsidR="00DE0787" w:rsidRPr="00F226E7">
        <w:rPr>
          <w:rFonts w:ascii="Arial" w:hAnsi="Arial" w:cs="Arial"/>
        </w:rPr>
        <w:t>(2005-2009)</w:t>
      </w:r>
      <w:r w:rsidR="00CB4905">
        <w:rPr>
          <w:rFonts w:ascii="Arial" w:hAnsi="Arial" w:cs="Arial"/>
        </w:rPr>
        <w:t xml:space="preserve"> and </w:t>
      </w:r>
      <w:r w:rsidR="00F14EB7">
        <w:rPr>
          <w:rFonts w:ascii="Arial" w:hAnsi="Arial" w:cs="Arial"/>
        </w:rPr>
        <w:t xml:space="preserve">the </w:t>
      </w:r>
      <w:r w:rsidR="00CB4905">
        <w:rPr>
          <w:rFonts w:ascii="Arial" w:hAnsi="Arial" w:cs="Arial"/>
        </w:rPr>
        <w:t>US Census 2010</w:t>
      </w:r>
      <w:r w:rsidR="00DE0787" w:rsidRPr="00F226E7">
        <w:rPr>
          <w:rFonts w:ascii="Arial" w:hAnsi="Arial" w:cs="Arial"/>
        </w:rPr>
        <w:t xml:space="preserve">. </w:t>
      </w:r>
    </w:p>
    <w:p w:rsidR="00BA01D0" w:rsidRDefault="00610C72" w:rsidP="00DE0787">
      <w:pPr>
        <w:rPr>
          <w:rFonts w:ascii="Arial" w:hAnsi="Arial" w:cs="Arial"/>
        </w:rPr>
      </w:pPr>
      <w:r>
        <w:rPr>
          <w:rFonts w:ascii="Arial" w:hAnsi="Arial" w:cs="Arial"/>
        </w:rPr>
        <w:t>The JHS neighborhood and census dataset (</w:t>
      </w:r>
      <w:r w:rsidRPr="00BA01D0">
        <w:rPr>
          <w:rFonts w:ascii="Arial" w:hAnsi="Arial" w:cs="Arial"/>
          <w:i/>
        </w:rPr>
        <w:t>jhs_nb_cen.sas7bdat</w:t>
      </w:r>
      <w:r>
        <w:rPr>
          <w:rFonts w:ascii="Arial" w:hAnsi="Arial" w:cs="Arial"/>
        </w:rPr>
        <w:t>)</w:t>
      </w:r>
      <w:r w:rsidRPr="00F226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contains 9504 rows and 128 variables. </w:t>
      </w:r>
      <w:r w:rsidR="00F14EB7">
        <w:rPr>
          <w:rFonts w:ascii="Arial" w:hAnsi="Arial" w:cs="Arial"/>
        </w:rPr>
        <w:t xml:space="preserve">These data represent a total of </w:t>
      </w:r>
      <w:r w:rsidR="00375CEE">
        <w:rPr>
          <w:rFonts w:ascii="Arial" w:hAnsi="Arial" w:cs="Arial"/>
        </w:rPr>
        <w:t>5301</w:t>
      </w:r>
      <w:r w:rsidR="00F14EB7">
        <w:rPr>
          <w:rFonts w:ascii="Arial" w:hAnsi="Arial" w:cs="Arial"/>
        </w:rPr>
        <w:t xml:space="preserve"> JHS participants, of which </w:t>
      </w:r>
      <w:r w:rsidR="00375CEE">
        <w:rPr>
          <w:rFonts w:ascii="Arial" w:hAnsi="Arial" w:cs="Arial"/>
        </w:rPr>
        <w:t>4203</w:t>
      </w:r>
      <w:r w:rsidR="00F14EB7">
        <w:rPr>
          <w:rFonts w:ascii="Arial" w:hAnsi="Arial" w:cs="Arial"/>
        </w:rPr>
        <w:t xml:space="preserve"> have information for </w:t>
      </w:r>
      <w:r w:rsidR="00D41B1D">
        <w:rPr>
          <w:rFonts w:ascii="Arial" w:hAnsi="Arial" w:cs="Arial"/>
        </w:rPr>
        <w:t xml:space="preserve">both </w:t>
      </w:r>
      <w:r w:rsidR="00F14EB7">
        <w:rPr>
          <w:rFonts w:ascii="Arial" w:hAnsi="Arial" w:cs="Arial"/>
        </w:rPr>
        <w:t xml:space="preserve">JHS exams 1 and </w:t>
      </w:r>
      <w:r w:rsidR="00D41B1D">
        <w:rPr>
          <w:rFonts w:ascii="Arial" w:hAnsi="Arial" w:cs="Arial"/>
        </w:rPr>
        <w:t xml:space="preserve"> exam </w:t>
      </w:r>
      <w:r w:rsidR="00F14EB7">
        <w:rPr>
          <w:rFonts w:ascii="Arial" w:hAnsi="Arial" w:cs="Arial"/>
        </w:rPr>
        <w:t xml:space="preserve">2, </w:t>
      </w:r>
      <w:r w:rsidR="00375CEE">
        <w:rPr>
          <w:rFonts w:ascii="Arial" w:hAnsi="Arial" w:cs="Arial"/>
        </w:rPr>
        <w:t>1098</w:t>
      </w:r>
      <w:r w:rsidR="00F14EB7">
        <w:rPr>
          <w:rFonts w:ascii="Arial" w:hAnsi="Arial" w:cs="Arial"/>
        </w:rPr>
        <w:t xml:space="preserve"> have information</w:t>
      </w:r>
      <w:r w:rsidR="00D41B1D">
        <w:rPr>
          <w:rFonts w:ascii="Arial" w:hAnsi="Arial" w:cs="Arial"/>
        </w:rPr>
        <w:t xml:space="preserve"> only</w:t>
      </w:r>
      <w:r w:rsidR="00F14EB7">
        <w:rPr>
          <w:rFonts w:ascii="Arial" w:hAnsi="Arial" w:cs="Arial"/>
        </w:rPr>
        <w:t xml:space="preserve"> on exam 1, and </w:t>
      </w:r>
      <w:r w:rsidR="00375CEE">
        <w:rPr>
          <w:rFonts w:ascii="Arial" w:hAnsi="Arial" w:cs="Arial"/>
        </w:rPr>
        <w:t>0</w:t>
      </w:r>
      <w:r w:rsidR="00F14EB7">
        <w:rPr>
          <w:rFonts w:ascii="Arial" w:hAnsi="Arial" w:cs="Arial"/>
        </w:rPr>
        <w:t xml:space="preserve"> have information on only exam 2. </w:t>
      </w:r>
      <w:r>
        <w:rPr>
          <w:rFonts w:ascii="Arial" w:hAnsi="Arial" w:cs="Arial"/>
        </w:rPr>
        <w:t>The data dictionary</w:t>
      </w:r>
      <w:r w:rsidR="00BA01D0">
        <w:rPr>
          <w:rFonts w:ascii="Arial" w:hAnsi="Arial" w:cs="Arial"/>
        </w:rPr>
        <w:t xml:space="preserve"> </w:t>
      </w:r>
      <w:r w:rsidR="00D57865">
        <w:rPr>
          <w:rFonts w:ascii="Arial" w:hAnsi="Arial" w:cs="Arial"/>
        </w:rPr>
        <w:t xml:space="preserve">and the </w:t>
      </w:r>
      <w:r>
        <w:rPr>
          <w:rFonts w:ascii="Arial" w:hAnsi="Arial" w:cs="Arial"/>
        </w:rPr>
        <w:t xml:space="preserve">related </w:t>
      </w:r>
      <w:r w:rsidR="00D57865">
        <w:rPr>
          <w:rFonts w:ascii="Arial" w:hAnsi="Arial" w:cs="Arial"/>
        </w:rPr>
        <w:t xml:space="preserve">reference documentation for </w:t>
      </w:r>
      <w:r w:rsidR="00772811">
        <w:rPr>
          <w:rFonts w:ascii="Arial" w:hAnsi="Arial" w:cs="Arial"/>
        </w:rPr>
        <w:t>variables</w:t>
      </w:r>
      <w:r>
        <w:rPr>
          <w:rFonts w:ascii="Arial" w:hAnsi="Arial" w:cs="Arial"/>
        </w:rPr>
        <w:t xml:space="preserve"> are listed below</w:t>
      </w:r>
      <w:r w:rsidR="00D57865">
        <w:rPr>
          <w:rFonts w:ascii="Arial" w:hAnsi="Arial" w:cs="Arial"/>
        </w:rPr>
        <w:t>.</w:t>
      </w:r>
      <w:r w:rsidR="00F14EB7">
        <w:rPr>
          <w:rFonts w:ascii="Arial" w:hAnsi="Arial" w:cs="Arial"/>
        </w:rPr>
        <w:t xml:space="preserve"> Details on how each variable was created can be found in these reference documents.</w:t>
      </w:r>
    </w:p>
    <w:p w:rsidR="006D7F09" w:rsidRPr="00F226E7" w:rsidRDefault="006D7F09" w:rsidP="00A20C97">
      <w:pPr>
        <w:pStyle w:val="ListParagraph"/>
        <w:ind w:left="360"/>
        <w:rPr>
          <w:rFonts w:ascii="Arial" w:hAnsi="Arial" w:cs="Arial"/>
          <w:i/>
          <w:sz w:val="18"/>
          <w:u w:val="single"/>
        </w:rPr>
      </w:pPr>
    </w:p>
    <w:p w:rsidR="00AD5425" w:rsidRPr="00F226E7" w:rsidRDefault="00AD542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431E3B" w:rsidRPr="0098319A" w:rsidRDefault="00431E3B" w:rsidP="0098319A">
      <w:pPr>
        <w:rPr>
          <w:i/>
          <w:sz w:val="18"/>
          <w:u w:val="single"/>
        </w:rPr>
      </w:pPr>
    </w:p>
    <w:p w:rsidR="006D24A1" w:rsidRDefault="006D24A1" w:rsidP="00A84363">
      <w:pPr>
        <w:pStyle w:val="ListParagraph"/>
        <w:ind w:left="360" w:firstLine="360"/>
        <w:rPr>
          <w:i/>
          <w:sz w:val="18"/>
          <w:u w:val="single"/>
        </w:rPr>
        <w:sectPr w:rsidR="006D24A1" w:rsidSect="00D5786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000" w:type="pct"/>
        <w:tblLook w:val="04A0"/>
      </w:tblPr>
      <w:tblGrid>
        <w:gridCol w:w="2453"/>
        <w:gridCol w:w="3924"/>
        <w:gridCol w:w="4103"/>
        <w:gridCol w:w="2696"/>
      </w:tblGrid>
      <w:tr w:rsidR="00096E15" w:rsidRPr="00C44D95" w:rsidTr="006D6ECD">
        <w:trPr>
          <w:trHeight w:val="270"/>
        </w:trPr>
        <w:tc>
          <w:tcPr>
            <w:tcW w:w="9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96E15" w:rsidRPr="00C44D95" w:rsidRDefault="00096E15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lastRenderedPageBreak/>
              <w:t>NAME</w:t>
            </w:r>
          </w:p>
        </w:tc>
        <w:tc>
          <w:tcPr>
            <w:tcW w:w="14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6E15" w:rsidRPr="00C44D95" w:rsidRDefault="00096E15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t>LABEL</w:t>
            </w:r>
          </w:p>
        </w:tc>
        <w:tc>
          <w:tcPr>
            <w:tcW w:w="155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096E15" w:rsidRPr="00C44D95" w:rsidRDefault="00966673" w:rsidP="00096E1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</w:rPr>
              <w:t xml:space="preserve">Additional </w:t>
            </w:r>
            <w:r w:rsidR="00096E15" w:rsidRPr="00C44D95">
              <w:rPr>
                <w:rFonts w:eastAsia="Times New Roman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2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</w:tcPr>
          <w:p w:rsidR="00096E15" w:rsidRPr="00C44D95" w:rsidRDefault="00096E15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t>Reference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t>JHS participant information</w:t>
            </w:r>
          </w:p>
        </w:tc>
        <w:tc>
          <w:tcPr>
            <w:tcW w:w="1489" w:type="pct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5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EF3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t> 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ID</w:t>
            </w: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FB67C7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 xml:space="preserve">Fake ID </w:t>
            </w:r>
            <w:r w:rsidR="00FB67C7">
              <w:rPr>
                <w:rFonts w:eastAsia="Times New Roman" w:cs="Arial"/>
                <w:sz w:val="16"/>
                <w:szCs w:val="16"/>
              </w:rPr>
              <w:t>of</w:t>
            </w:r>
            <w:r w:rsidRPr="00C44D95">
              <w:rPr>
                <w:rFonts w:eastAsia="Times New Roman" w:cs="Arial"/>
                <w:sz w:val="16"/>
                <w:szCs w:val="16"/>
              </w:rPr>
              <w:t xml:space="preserve"> JHS</w:t>
            </w:r>
            <w:r w:rsidR="00FB67C7">
              <w:rPr>
                <w:rFonts w:eastAsia="Times New Roman" w:cs="Arial"/>
                <w:sz w:val="16"/>
                <w:szCs w:val="16"/>
              </w:rPr>
              <w:t xml:space="preserve"> participant</w:t>
            </w:r>
          </w:p>
        </w:tc>
        <w:tc>
          <w:tcPr>
            <w:tcW w:w="1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F14EB7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E</w:t>
            </w:r>
            <w:r w:rsidR="00C44D95" w:rsidRPr="00C44D95">
              <w:rPr>
                <w:rFonts w:eastAsia="Times New Roman" w:cs="Arial"/>
                <w:sz w:val="16"/>
                <w:szCs w:val="16"/>
              </w:rPr>
              <w:t>xam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 xml:space="preserve">Indicator on which the JHS clinic exam the participant was enrolled 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STCOTRK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FIPS State, county, tract code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4662D8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7E24BC" w:rsidRPr="007E24BC">
              <w:rPr>
                <w:rFonts w:eastAsia="Times New Roman" w:cs="Arial"/>
                <w:sz w:val="16"/>
                <w:szCs w:val="16"/>
              </w:rPr>
              <w:t>JHS addresses and NETS geocode_documentation.doc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t>Neighborhood Survey Score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NDFA_CEBE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Conditional Empirical Bayes Estimate (CEBE) for NB Disorder FA-based</w:t>
            </w:r>
          </w:p>
        </w:tc>
        <w:tc>
          <w:tcPr>
            <w:tcW w:w="1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NDFA_CEBE_N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CEBE NB Disorder FA-based</w:t>
            </w:r>
          </w:p>
        </w:tc>
        <w:tc>
          <w:tcPr>
            <w:tcW w:w="1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NDFA_SEBE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Spatial Empirical Bayes Estimate (SEBE) for NB Disorder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NDFA_SEBE_N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SEBE NB Disorder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NDFA_UEBE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Age &amp; gender adjusted unconditional Empirical Bayes Estimate (UEBE) for NB Disorder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NDFA_UEBE_N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age &amp; gender adjusted UEBE NB Disorder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NDFA_UEBE_unadj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Unadjusted Unconditional Empirical Bayes Estimate (UEBE) for NB Disorder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NDFA_UEBE_unadj_N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unadjusted UEBE NB Disorder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NPPCA_CEBE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Conditional Empirical Bayes Estimate (CEBE) for NB Problem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lastRenderedPageBreak/>
              <w:t>NPPCA_CEBE_N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CEBE NB Problem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NPPCA_SEBE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Spatial Empirical Bayes Estimate (SEBE) for NB Problem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NPPCA_SEBE_N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SEBE NB Problem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NPPCA_UEBE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Age &amp; gender adjusted Unconditional Empirical Bayes Estimate (UEBE) for NB Problem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NPPCA_UEBE_N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age &amp; gender adjusted UEBE NB Problem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NPPCA_UEBE_unadj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Unadjusted Unconditional Empirical Bayes Estimate (UEBE) for NB Problem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NPPCA_UEBE_unadj_N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unadjusted UEBE NB Problem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NRFA_CEBE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Conditional Empirical Bayes Estimate (CEBE) for NB Resources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NRFA_CEBE_N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CEBE NB Resources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NRFA_SEBE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Spatial Empirical Bayes Estimate (SEBE) for NB Resources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NRFA_SEBE_N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SEBE NB Resources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NRFA_UEBE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Age &amp; gender adjusted Unconditional Empirical Bayes Estimate (UEBE) for NB Resources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NRFA_UEBE_N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age &amp; gender adjusted UEBE NB Resources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NRFA_UEBE_unadj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Unadjusted Unconditional Empirical Bayes Estimate (UEBE) for NB Resources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NRFA_UEBE_unadj_N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unadjusted UEBE NB Resources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NbDiso_fa_N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Crude Mean NB Disorder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NbDiso_fa_RAW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Crude Mean Neighborhood (NB) Disorder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NbProb_pca_N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Crude Mean NB Problem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NbProb_pca_RAW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Crude Mean NB Problem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NbRes_fa_N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Crude Mean NB Resources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NbRes_fa_RAW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Crude Mean Neighborhood (NB) Resources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SCFA_CEBE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Conditional Empirical Bayes Estimate (CEBE) for Social Cohesion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SCFA_CEBE_N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CEBE Social Cohesion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SCFA_SEBE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Spatial Empirical Bayes Estimate (SEBE) for Social Cohesion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SCFA_SEBE_N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SEBE Social Cohesion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SCFA_UEBE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Age &amp; gender adjusted Unconditional Empirical Bayes Estimate (UEBE) for Social Cohesion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SCFA_UEBE_N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age &amp; gender adjusted UEBE Social Cohesion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SCFA_UEBE_unadj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Unadjusted Unconditional Empirical Bayes Estimate (UEBE) for Social Cohesion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SCFA_UEBE_unadj_N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unadjusted UEBE Social Cohesion FA-based - unadjusted for age &amp; gender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SCPCA_CEBE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Conditional Empirical Bayes Estimate (CEBE) for Social Cohesion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SCPCA_CEBE_N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CEBE Social Cohesion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SCPCA_SEBE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Spatial Empirical Bayes Estimate (SEBE) for Social Cohesion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SCPCA_SEBE_N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SEBE Social Cohesion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SCPCA_UEBE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Age &amp; gender adjusted Unconditional Empirical Bayes Estimate (UEBE) for Social Cohesion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SCPCA_UEBE_N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age &amp; gender adjusted UEBE Social Cohesion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SCPCA_UEBE_unadj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Unadjusted Unconditional Empirical Bayes Estimate (UEBE) for Social Cohesion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SCPCA_UEBE_unadj_N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unadjusted UEBE Social Cohesion PCA-based - unadjusted for age &amp; gender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SocCo_fa_N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Crude mean Social Cohesion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SocCo_fa_RAW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Crude Mean  Social Cohesion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SocCo_pca_N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Crude mean Social Cohesion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SocCo_pca_RAW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Crude Mean Social Cohesion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VOFA_CEBE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Conditional Empirical Bayes Estimate (CEBE) for Violence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VOFA_CEBE_N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CEBE Violence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VOFA_SEBE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Spatial Empirical Bayes Estimate (SEBE) for  Violence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VOFA_SEBE_N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SEBE Violence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VOFA_UEBE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Age &amp; gender adjusted Unconditional Empirical Bayes Estimate (UEBE) for Violence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VOFA_UEBE_N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age &amp; gender adjusted UEBE  Violence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VOFA_UEBE_unadj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Unadjusted Unconditional Empirical Bayes Estimate (UEBE) for Violence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VOFA_UEBE_unadj_N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unadjusted UEBE  Violence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VOPCA_CEBE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Conditional Empirical Bayes Estimate (CEBE) for Violence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VOPCA_CEBE_N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CEBE Violence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VOPCA_SEBE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Spatial Empirical Bayes Estimate (SEBE) for  Violence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VOPCA_SEBE_N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SEBE Violence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VOPCA_UEBE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Age &amp; gender adjusted Unconditional Empirical Bayes Estimate (UEBE) for Violence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VOPCA_UEBE_N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age &amp; gender adjusted UEBE  Violence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VOPCA_UEBE_unadj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Unadjusted Unconditional Empirical Bayes Estimate (UEBE) for Violence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VOPCA_UEBE_unadj_N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Unadjusted UEBE  Violence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Viol_fa_N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Crude Mean Violence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Viol_fa_RAW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Crude Mean Violence FA-based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Viol_pca_N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# Of subjects for Crude Mean Violence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C44D95" w:rsidRPr="00C44D95" w:rsidTr="006D6ECD">
        <w:trPr>
          <w:trHeight w:val="76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Viol_pca_RAW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Crude Mean Violence PCA-based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Neighborhood Survey  EB_Estimates documntation.doc</w:t>
            </w:r>
          </w:p>
        </w:tc>
      </w:tr>
      <w:tr w:rsidR="00141A50" w:rsidRPr="00C44D95" w:rsidTr="00141A50">
        <w:trPr>
          <w:trHeight w:val="255"/>
        </w:trPr>
        <w:tc>
          <w:tcPr>
            <w:tcW w:w="242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hideMark/>
          </w:tcPr>
          <w:p w:rsidR="00141A50" w:rsidRPr="00C44D95" w:rsidRDefault="00141A50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t>US Census variables</w:t>
            </w:r>
            <w:r>
              <w:rPr>
                <w:rFonts w:eastAsia="Times New Roman" w:cs="Arial"/>
                <w:b/>
                <w:bCs/>
                <w:sz w:val="16"/>
                <w:szCs w:val="16"/>
              </w:rPr>
              <w:t xml:space="preserve">  (census level)</w:t>
            </w:r>
          </w:p>
          <w:p w:rsidR="00141A50" w:rsidRPr="00C44D95" w:rsidRDefault="00141A50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hideMark/>
          </w:tcPr>
          <w:p w:rsidR="00141A50" w:rsidRPr="00C44D95" w:rsidRDefault="00141A50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hideMark/>
          </w:tcPr>
          <w:p w:rsidR="00141A50" w:rsidRPr="00C44D95" w:rsidRDefault="00141A50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t> 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birth_foreign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foreign born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foreign born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Built_medYr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Median year building built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Median year building built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crowd_gt1_ppr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Household with crowding &gt; 1 person per room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of households with crowding &gt; 1 person per room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Educ_minBA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25+ with minimum bachelor degree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of persons age 25+ with at least a Bachelor’s degree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Educ_minHS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25+ with minimum High School education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of persons age 25+ with at least a high school education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HU_sampleocc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Household occupied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of occupied housing units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HUcost_medownval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Median owner Household cost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Median housing value of owner units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HUcost_medrent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Median gross rent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Median gross rent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HUcost_medrentHHinc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Median gross rent as percent of HH income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Median gross rent as percent of HH income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inc_HHge50k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Household w/income &gt;= $50,000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of households with household income &gt;$50,000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inc_IntDivRent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Household with interest, dividend, rental income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of households with interest, dividend, or net rental income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inc_medHH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Median Household income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Median household income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inc_pubass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with public assistance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of households with public assistance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NotInLaborForce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not in labor force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not in labor force, among persons 16 and over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51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Occup_I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managerial occupation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with managerial, professional, or related occupation among those 16+ in the labor force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ownerocc_hh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Household owner occupied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housing units owner occupied, among total housing units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phone_none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Household w/no telephone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of households without a telephone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plumbing_lack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Household lacking plumbing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of households lacking plumbing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popden_nowat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population density with only land (no water) (per square km)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Population density with only land (no water)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popden_tot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population density including land+water (per square km)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Population density including land+water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pov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below poverty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of persons below poverty level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race_asianNH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asian non-hispanic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Non-Hispanic Asian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race_blackNH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black non-hispanic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Non-Hispanic Black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race_hisp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hispanic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Hispanic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race_otherNH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other non-hispanic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Other Non-Hispanic races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race_whiteNH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white non-hispanic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Non-Hispanic White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samehouse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in same house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of persons living in the same house since last censu</w:t>
            </w:r>
            <w:r w:rsidR="00383470">
              <w:rPr>
                <w:rFonts w:eastAsia="Times New Roman" w:cstheme="minorHAnsi"/>
                <w:sz w:val="16"/>
                <w:szCs w:val="16"/>
              </w:rPr>
              <w:t>s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unemployed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unemployed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unemployed among civilians 16+ in the labor force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E4566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  <w:r w:rsidR="00C44D95" w:rsidRPr="00C44D95">
              <w:rPr>
                <w:rFonts w:eastAsia="Times New Roman" w:cs="Arial"/>
                <w:sz w:val="16"/>
                <w:szCs w:val="16"/>
              </w:rPr>
              <w:t> </w:t>
            </w:r>
          </w:p>
        </w:tc>
      </w:tr>
      <w:tr w:rsidR="00C44D95" w:rsidRPr="00C44D95" w:rsidTr="006D6ECD">
        <w:trPr>
          <w:trHeight w:val="255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vehicle_none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% Household w/no vehicle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Percent of households without a vehicle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C44D95">
              <w:rPr>
                <w:rFonts w:eastAsia="Times New Roman" w:cs="Arial"/>
                <w:sz w:val="16"/>
                <w:szCs w:val="16"/>
              </w:rPr>
              <w:t> </w:t>
            </w:r>
            <w:r w:rsidR="00E45668" w:rsidRPr="00E45668">
              <w:rPr>
                <w:rFonts w:eastAsia="Times New Roman" w:cs="Arial"/>
                <w:sz w:val="16"/>
                <w:szCs w:val="16"/>
              </w:rPr>
              <w:t>US Census Variables.docx</w:t>
            </w:r>
          </w:p>
        </w:tc>
      </w:tr>
      <w:tr w:rsidR="00141A50" w:rsidRPr="00C44D95" w:rsidTr="00141A50">
        <w:trPr>
          <w:trHeight w:val="255"/>
        </w:trPr>
        <w:tc>
          <w:tcPr>
            <w:tcW w:w="242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141A50" w:rsidRPr="00C44D95" w:rsidRDefault="00141A50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t>US Census Factor Score</w:t>
            </w:r>
            <w:r>
              <w:rPr>
                <w:rFonts w:eastAsia="Times New Roman" w:cs="Arial"/>
                <w:b/>
                <w:bCs/>
                <w:sz w:val="16"/>
                <w:szCs w:val="16"/>
              </w:rPr>
              <w:t xml:space="preserve">  (census level)</w:t>
            </w:r>
          </w:p>
          <w:p w:rsidR="00141A50" w:rsidRPr="00C44D95" w:rsidRDefault="00141A50" w:rsidP="00C44D95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C44D95">
              <w:rPr>
                <w:rFonts w:eastAsia="Times New Roman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557" w:type="pct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hideMark/>
          </w:tcPr>
          <w:p w:rsidR="00141A50" w:rsidRPr="00C44D95" w:rsidRDefault="00141A50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023" w:type="pct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hideMark/>
          </w:tcPr>
          <w:p w:rsidR="00141A50" w:rsidRPr="00C44D95" w:rsidRDefault="00141A50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F1_PC1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Race/Ethnicity (PC1) Weighted Factor1 score</w:t>
            </w:r>
          </w:p>
        </w:tc>
        <w:tc>
          <w:tcPr>
            <w:tcW w:w="1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Weighted Factor1 scale from the Race/Ethnicity/Crowding PCA (PC1).  This is highly weighted on % foreign born, % Hispanic, % Asian, and % crowding.  This is weighted to both datasets combined.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F1_PC1_BR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Factor1 based score w/raw vars for Race/Ethnicity (PC1)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Factor1 based scale from Race/Ethnicity/Crowding PCA (PC1).  This is based on the standardized to both datasets combined raw variables summed together.  The variables are: % foreign born, % Hispanic, % Asian, and % crowding.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F1_PC1_BT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Factor1 based score w/transformed vars for Race/Ethnicity (PC1)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Factor1 based scale from Race/Ethnicity/Crowding PCA (PC1).  This is based on the standardized to both datasets combined transformed variables summed together.  The variables are: % foreign born cube root, % Hispanic cube root, % Asian cube root, % crowding cube root.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F1_PC2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SES (PC2) Weighted Factor1 score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Weighted Factor1 scale from the Other SES PCA (PC2).  This is highly weighted on % Bachelor degree, % managerial occupation, median home value, % HS education, median household income, and % HH income &gt;$50,000.  This is weighted to both datasets combined.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F1_PC2_BR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Factor1 based score w/raw vars for SES (PC2)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Factor1 based scale from Other SES PCA (PC2).  This is based on the standardized to both datasets combined raw variables summed together.  The variables are: % Bachelor degree reverse coded, % managerial occupation reverse coded, median home value reverse coded, % HS education reverse coded, median household income reverse coded, and % HH income &gt;$50,000 reverse coded.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F1_PC2_BT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Factor1 based score w/transformed vars for SES (PC2)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Factor1 based scale from Other SES PCA (PC2).  This is based on the standardized to both datasets combined transformed variables summed together.  The variables are: % Bachelor degree reverse coded, % managerial occupation reverse coded, median home value reverse coded cube root, % HS education reverse coded, median household income reverse coded cube root, and % HH income &gt;$50,000 reverse coded.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F1_PC3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Full (PC3) Weighted Factor1 score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Weighted Factor1 scale from the Full Variables PCA (PC3).  This is highly weighted on % Bachelor degree, % managerial occupation, % HS education, median home value, median HH income, and % HH income &gt;$50,000.  This is weighted to both datasets combined.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F1_PC3_BR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Factor1 based score w/raw vars for FULL (PC3)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Factor1 based scale from Full Variables PCA (PC3).  This is based on the standardized to both datasets combined raw variables summed together.  The variables are: % Bachelor degree reverse coded, % managerial occupation reverse coded, % HS education reverse coded, median home value reverse coded, median HH income reverse coded, and % HH income &gt;$50,000 reverse coded.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F1_PC3_BT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Factor1 based score w/transformed vars for FULL (PC3)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Factor1 based scale from Full Variables PCA (PC3).  This is based on the standardized to both datasets combined transformed variables summed together.  The variables are: % Bachelor degree reverse coded, % managerial occupation reverse coded, % HS education reverse coded, median home value reverse coded cube root, median HH income reverse coded cube root, and % HH income &gt;$50,000 reverse coded.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F2_PC1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Race/Ethnicity (PC1) Weighted Factor2 score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Weighted Factor2 scale from the Race/Ethnicity/Crowding PCA (PC1).  This is highly weighted on % Black.  This is weighted to both datasets combined.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F2_PC2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SES (PC2) Weighted Factor2 score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Weighted Factor2 scale from the Other SES PCA (PC2).  This is highly weighted on % no vehicle, % owner occupied housing, % poverty, and % unemployed.  This is weighted to both datasets combined.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F2_PC2_BR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Factor2 based score w/raw vars for SES (PC2)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Factor2 based scale from Other SES PCA (PC2).  This is based on the standardized to both datasets combined raw variables summed together.  The variables are: % no vehicle, % owner occupied housing reverse coded, % poverty, and % unemployed.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F2_PC2_BT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Factor2 based score w/transformed vars for SES (PC2)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Factor2 based scale from Other SES PCA (PC2).  This is based on the standardized to both datasets combined transformed variables summed together.  The variables are: % no vehicle cube root, % owner occupied housing reverse coded, % poverty cube root, and % unemployed cube root.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F2_PC3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Full (PC3) Weighted Factor2 score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Weighted Factor2 scale from the Full Variables PCA (PC3).  This is highly weighted on % Black, % owner occupied housing, % no vehicle, % interest/dividend income, % poverty, and % unemployed.  This is weighted to both datasets combined.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F2_PC3_BR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Factor2 based score w/raw vars for FULL (PC3)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Factor2 based scale from Full Variables PCA (PC3).  This is based on the standardized to both datasets combined raw variables summed together.  The variables are: % Black, % owner occupied housing reverse coded, % no vehicle, % interest/dividend income reverse coded, % poverty, and % unemployed.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F2_PC3_BT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Factor2 based score w/transformed vars for FULL (PC3)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Factor2 based scale from Full Variables PCA (PC3).  This is based on the standardized to both datasets combined transformed variables summed together.  The variables are: % Black cube root, % owner occupied housing reverse coded, % no vehicle cube root, % interest/dividend income reverse coded, % poverty cube root, and % unemployed cube root.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F3_PC2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SES (PC2) Weighted Factor3 score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Weighted Factor3 scale from the Other SES PCA (PC2).  This is highly weighted on % occupied households.  This is weighted to both datasets combined.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F3_PC3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Full (PC3) Weighted Factor3 score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Weighted Factor3 scale from the Full Variables PCA (PC3).  This is highly weighted on % foreign born, % Hispanic, and % crowding.  This is weighted to both datasets combined.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F3_PC3_BR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Factor3 based score w/raw vars for FULL (PC3)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Factor3 based scale from Full Variables PCA (PC3).  This is based on the standardized to both datasets combined raw variables summed together.  The variables are: % foreign born, % Hispanic, and % crowding.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F3_PC3_BT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Factor3 based score w/transformed vars for FULL (PC3)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Factor3 based scale from Full Variables PCA (PC3).  This is based on the standardized to both datasets combined transformed variables summed together.  The variables are: % foreign born cube root, % Hispanic cube root, and % crowding cube root.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F4_PC2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SES (PC2) Weighted Factor4 score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Weighted Factor4 scale from the Other SES PCA (PC2).  This is highly weighted on % in same house.  This is weighted to both datasets combined.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F4_PC3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Full (PC3) Weighted Factor4 score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Weighted Factor4 scale from the Full Variables PCA (PC3).  This is highly weighted on % not in labor force and % occupied housing.  This is weighted to both datasets combined.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F4_PC3_BR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Factor4 based score w/raw vars for FULL (PC3)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Factor4 based scale from Full Variables PCA (PC3).  This is based on the standardized to both datasets combined raw variables summed together.  The variables are: % not in labor force and % occupied housing reverse coded.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F4_PC3_BT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Factor4 based score w/transformed vars for FULL (PC3)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Factor4 based scale from Full Variables PCA (PC3).  This is based on the standardized to both datasets combined transformed variables summed together.  The variables are: % not in labor force and % occupied housing reverse coded cube root.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F5_PC3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Full (PC3) Weighted Factor5 score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Weighted Factor5 scale from the Full Variables PCA (PC3).  This is highly weighted on % in same house.  This is weighted to both datasets combined.  A higher value indicates a worse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  <w:tr w:rsidR="00C44D95" w:rsidRPr="00C44D95" w:rsidTr="006D6ECD">
        <w:trPr>
          <w:trHeight w:val="1500"/>
        </w:trPr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factor_ana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="Arial"/>
                <w:sz w:val="16"/>
                <w:szCs w:val="16"/>
              </w:rPr>
              <w:t>Factor score based on Ana Diez-Roux 1990 PC factor analysis</w:t>
            </w:r>
          </w:p>
        </w:tc>
        <w:tc>
          <w:tcPr>
            <w:tcW w:w="1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C44D95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 w:rsidRPr="00C44D95">
              <w:rPr>
                <w:rFonts w:eastAsia="Times New Roman" w:cstheme="minorHAnsi"/>
                <w:sz w:val="16"/>
                <w:szCs w:val="16"/>
              </w:rPr>
              <w:t>Factor based scale from Ana Diez-Roux 1990 census PCA methods.  This is based on the standardized to both datasets combined transformed variables summed together.  The variables are: median housing value log, % HS education, % Bachelor’s degree, % managerial occupation, median HH income log, and % interest/dividend income.  A higher value indicates a better SES.  This will be missing if any variables are missing.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D95" w:rsidRPr="00C44D95" w:rsidRDefault="000766E8" w:rsidP="00C44D95">
            <w:pPr>
              <w:spacing w:after="0" w:line="240" w:lineRule="auto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Census Factor Scales documentation.docx</w:t>
            </w:r>
          </w:p>
        </w:tc>
      </w:tr>
    </w:tbl>
    <w:p w:rsidR="00C44D95" w:rsidRPr="00003048" w:rsidRDefault="00C44D95" w:rsidP="00986081">
      <w:pPr>
        <w:pStyle w:val="ListParagraph"/>
        <w:ind w:left="0"/>
        <w:rPr>
          <w:sz w:val="24"/>
          <w:szCs w:val="24"/>
        </w:rPr>
      </w:pPr>
    </w:p>
    <w:p w:rsidR="00C66F1E" w:rsidRPr="004820A4" w:rsidRDefault="00C66F1E" w:rsidP="004820A4">
      <w:pPr>
        <w:rPr>
          <w:sz w:val="18"/>
        </w:rPr>
      </w:pPr>
    </w:p>
    <w:sectPr w:rsidR="00C66F1E" w:rsidRPr="004820A4" w:rsidSect="00D578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5B43"/>
    <w:multiLevelType w:val="hybridMultilevel"/>
    <w:tmpl w:val="B13E3F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764E23"/>
    <w:multiLevelType w:val="hybridMultilevel"/>
    <w:tmpl w:val="91C604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B05E28"/>
    <w:multiLevelType w:val="hybridMultilevel"/>
    <w:tmpl w:val="F93E8B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163488"/>
    <w:multiLevelType w:val="hybridMultilevel"/>
    <w:tmpl w:val="A1BAD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A97272"/>
    <w:multiLevelType w:val="hybridMultilevel"/>
    <w:tmpl w:val="FE64D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88330C"/>
    <w:multiLevelType w:val="hybridMultilevel"/>
    <w:tmpl w:val="EB7A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31DF0"/>
    <w:multiLevelType w:val="hybridMultilevel"/>
    <w:tmpl w:val="9508D6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521655"/>
    <w:multiLevelType w:val="hybridMultilevel"/>
    <w:tmpl w:val="F8AA4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50D9C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FE7665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D81EAD"/>
    <w:multiLevelType w:val="hybridMultilevel"/>
    <w:tmpl w:val="24EAA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091EDE"/>
    <w:multiLevelType w:val="hybridMultilevel"/>
    <w:tmpl w:val="6D00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379A4"/>
    <w:multiLevelType w:val="hybridMultilevel"/>
    <w:tmpl w:val="D43A62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544004"/>
    <w:multiLevelType w:val="hybridMultilevel"/>
    <w:tmpl w:val="58D09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E0787"/>
    <w:rsid w:val="00003048"/>
    <w:rsid w:val="00011A3C"/>
    <w:rsid w:val="00012A16"/>
    <w:rsid w:val="00054915"/>
    <w:rsid w:val="00066DDC"/>
    <w:rsid w:val="000766E8"/>
    <w:rsid w:val="00092234"/>
    <w:rsid w:val="00096E15"/>
    <w:rsid w:val="000C0D15"/>
    <w:rsid w:val="000C1190"/>
    <w:rsid w:val="000D1F43"/>
    <w:rsid w:val="000F60AE"/>
    <w:rsid w:val="00112ADB"/>
    <w:rsid w:val="00141A50"/>
    <w:rsid w:val="00147FEF"/>
    <w:rsid w:val="002273DF"/>
    <w:rsid w:val="002436A0"/>
    <w:rsid w:val="00244D1B"/>
    <w:rsid w:val="00246015"/>
    <w:rsid w:val="00257CB6"/>
    <w:rsid w:val="002655F3"/>
    <w:rsid w:val="00281CE2"/>
    <w:rsid w:val="00286270"/>
    <w:rsid w:val="00291BC1"/>
    <w:rsid w:val="00294CE8"/>
    <w:rsid w:val="002974E8"/>
    <w:rsid w:val="002A0C5E"/>
    <w:rsid w:val="002A4885"/>
    <w:rsid w:val="002D4198"/>
    <w:rsid w:val="0032746D"/>
    <w:rsid w:val="003314DC"/>
    <w:rsid w:val="00335C39"/>
    <w:rsid w:val="00342BBB"/>
    <w:rsid w:val="00347892"/>
    <w:rsid w:val="003710A5"/>
    <w:rsid w:val="00375CEE"/>
    <w:rsid w:val="00382F1C"/>
    <w:rsid w:val="00383470"/>
    <w:rsid w:val="0038607A"/>
    <w:rsid w:val="003B4EDD"/>
    <w:rsid w:val="003B7564"/>
    <w:rsid w:val="003C0BDA"/>
    <w:rsid w:val="003D27FB"/>
    <w:rsid w:val="003E3C3D"/>
    <w:rsid w:val="004015D9"/>
    <w:rsid w:val="00405E34"/>
    <w:rsid w:val="004129C3"/>
    <w:rsid w:val="00420A23"/>
    <w:rsid w:val="00431E3B"/>
    <w:rsid w:val="00454496"/>
    <w:rsid w:val="00456BAF"/>
    <w:rsid w:val="004662D8"/>
    <w:rsid w:val="00470587"/>
    <w:rsid w:val="00476EE6"/>
    <w:rsid w:val="004820A4"/>
    <w:rsid w:val="004827BA"/>
    <w:rsid w:val="004B6DAD"/>
    <w:rsid w:val="004B7468"/>
    <w:rsid w:val="004D1AF7"/>
    <w:rsid w:val="004D5D61"/>
    <w:rsid w:val="0053436F"/>
    <w:rsid w:val="00564C5D"/>
    <w:rsid w:val="00570D0F"/>
    <w:rsid w:val="00572EB8"/>
    <w:rsid w:val="005878CA"/>
    <w:rsid w:val="0059012E"/>
    <w:rsid w:val="00592865"/>
    <w:rsid w:val="005C4E74"/>
    <w:rsid w:val="005E4499"/>
    <w:rsid w:val="005F535C"/>
    <w:rsid w:val="00610C72"/>
    <w:rsid w:val="00637928"/>
    <w:rsid w:val="00644598"/>
    <w:rsid w:val="00685939"/>
    <w:rsid w:val="006A62F3"/>
    <w:rsid w:val="006D24A1"/>
    <w:rsid w:val="006D6ECD"/>
    <w:rsid w:val="006D7F09"/>
    <w:rsid w:val="00713250"/>
    <w:rsid w:val="0072330B"/>
    <w:rsid w:val="007427B6"/>
    <w:rsid w:val="00755F9B"/>
    <w:rsid w:val="00772811"/>
    <w:rsid w:val="007809DB"/>
    <w:rsid w:val="00797197"/>
    <w:rsid w:val="007D0BB2"/>
    <w:rsid w:val="007D7924"/>
    <w:rsid w:val="007E0D35"/>
    <w:rsid w:val="007E24BC"/>
    <w:rsid w:val="007F7BB0"/>
    <w:rsid w:val="0080581A"/>
    <w:rsid w:val="00817AFE"/>
    <w:rsid w:val="00825353"/>
    <w:rsid w:val="008570C3"/>
    <w:rsid w:val="00860485"/>
    <w:rsid w:val="008803DD"/>
    <w:rsid w:val="008A2504"/>
    <w:rsid w:val="008B5BD5"/>
    <w:rsid w:val="008F0A2E"/>
    <w:rsid w:val="008F1858"/>
    <w:rsid w:val="00906E59"/>
    <w:rsid w:val="0092453D"/>
    <w:rsid w:val="009415AF"/>
    <w:rsid w:val="00966673"/>
    <w:rsid w:val="0098319A"/>
    <w:rsid w:val="00986081"/>
    <w:rsid w:val="00990268"/>
    <w:rsid w:val="009C08EC"/>
    <w:rsid w:val="009C2181"/>
    <w:rsid w:val="00A20C97"/>
    <w:rsid w:val="00A312E5"/>
    <w:rsid w:val="00A52D2A"/>
    <w:rsid w:val="00A84363"/>
    <w:rsid w:val="00A845AF"/>
    <w:rsid w:val="00A86EB8"/>
    <w:rsid w:val="00AA38FC"/>
    <w:rsid w:val="00AD5425"/>
    <w:rsid w:val="00AE0E05"/>
    <w:rsid w:val="00AE25FC"/>
    <w:rsid w:val="00B026C0"/>
    <w:rsid w:val="00B074FA"/>
    <w:rsid w:val="00B17709"/>
    <w:rsid w:val="00B25189"/>
    <w:rsid w:val="00B511C0"/>
    <w:rsid w:val="00BA01D0"/>
    <w:rsid w:val="00BC68F9"/>
    <w:rsid w:val="00BC6A8C"/>
    <w:rsid w:val="00BD4372"/>
    <w:rsid w:val="00BE7EB5"/>
    <w:rsid w:val="00BF41B4"/>
    <w:rsid w:val="00C1720F"/>
    <w:rsid w:val="00C223B2"/>
    <w:rsid w:val="00C30B3D"/>
    <w:rsid w:val="00C41CD0"/>
    <w:rsid w:val="00C44D95"/>
    <w:rsid w:val="00C50B11"/>
    <w:rsid w:val="00C5123A"/>
    <w:rsid w:val="00C51A65"/>
    <w:rsid w:val="00C638D4"/>
    <w:rsid w:val="00C66F1E"/>
    <w:rsid w:val="00C76DCF"/>
    <w:rsid w:val="00C901E1"/>
    <w:rsid w:val="00CA7E59"/>
    <w:rsid w:val="00CB0B16"/>
    <w:rsid w:val="00CB4905"/>
    <w:rsid w:val="00CC2211"/>
    <w:rsid w:val="00CF4D51"/>
    <w:rsid w:val="00D02639"/>
    <w:rsid w:val="00D21D7C"/>
    <w:rsid w:val="00D33BBB"/>
    <w:rsid w:val="00D41B1D"/>
    <w:rsid w:val="00D43785"/>
    <w:rsid w:val="00D5135C"/>
    <w:rsid w:val="00D52FD9"/>
    <w:rsid w:val="00D57865"/>
    <w:rsid w:val="00D641D1"/>
    <w:rsid w:val="00D77986"/>
    <w:rsid w:val="00D87A7A"/>
    <w:rsid w:val="00D92C7B"/>
    <w:rsid w:val="00D937C6"/>
    <w:rsid w:val="00DC67FF"/>
    <w:rsid w:val="00DE0787"/>
    <w:rsid w:val="00E45668"/>
    <w:rsid w:val="00E537C6"/>
    <w:rsid w:val="00E56EF7"/>
    <w:rsid w:val="00E75CB9"/>
    <w:rsid w:val="00E9052D"/>
    <w:rsid w:val="00E906FE"/>
    <w:rsid w:val="00EA6FE5"/>
    <w:rsid w:val="00EB4703"/>
    <w:rsid w:val="00ED53A9"/>
    <w:rsid w:val="00F07EB0"/>
    <w:rsid w:val="00F10DC7"/>
    <w:rsid w:val="00F147A8"/>
    <w:rsid w:val="00F14EB7"/>
    <w:rsid w:val="00F175C3"/>
    <w:rsid w:val="00F226E7"/>
    <w:rsid w:val="00F54B71"/>
    <w:rsid w:val="00F70D6F"/>
    <w:rsid w:val="00F8493D"/>
    <w:rsid w:val="00F97FA3"/>
    <w:rsid w:val="00FB5415"/>
    <w:rsid w:val="00FB67C7"/>
    <w:rsid w:val="00FB6C7E"/>
    <w:rsid w:val="00FD5026"/>
    <w:rsid w:val="00FE7E9B"/>
    <w:rsid w:val="00FF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F71C8-21E9-41C1-9833-D90F82FB5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3781</Words>
  <Characters>21554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Public Health</dc:creator>
  <cp:lastModifiedBy>School of Public Health</cp:lastModifiedBy>
  <cp:revision>13</cp:revision>
  <dcterms:created xsi:type="dcterms:W3CDTF">2013-05-16T13:51:00Z</dcterms:created>
  <dcterms:modified xsi:type="dcterms:W3CDTF">2013-05-17T13:38:00Z</dcterms:modified>
</cp:coreProperties>
</file>