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b/>
          <w:i w:val="0"/>
          <w:color w:val="1F4E78"/>
          <w:sz w:val="40"/>
        </w:rPr>
        <w:t>PRJ01: Final Project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</w:rPr>
              <w:t>Field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</w:rPr>
              <w:t>Details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/>
              </w:rPr>
              <w:t>Document Code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rFonts w:ascii="Consolas" w:hAnsi="Consolas"/>
                <w:color w:val="24292E"/>
                <w:sz w:val="19"/>
              </w:rPr>
              <w:t>PRJ01_FinalReport_v1.0_2026-08-13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</w:rPr>
              <w:t>Project Title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AI Reskilling Think Tank Platform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/>
              </w:rPr>
              <w:t>Completion Date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August 13, 2026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</w:rPr>
              <w:t>Interns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Brian &amp; Joel Munene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/>
              </w:rPr>
              <w:t>Supervisors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Brian &amp; Keith</w:t>
            </w:r>
          </w:p>
        </w:tc>
      </w:tr>
    </w:tbl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40" w:after="80"/>
      </w:pPr>
      <w:r>
        <w:rPr>
          <w:b/>
          <w:i w:val="0"/>
          <w:color w:val="2E75B6"/>
          <w:sz w:val="30"/>
        </w:rPr>
        <w:t>1. Executive Summary</w:t>
      </w:r>
    </w:p>
    <w:p>
      <w:pPr>
        <w:spacing w:before="40" w:after="80"/>
      </w:pPr>
      <w:r>
        <w:rPr>
          <w:b w:val="0"/>
          <w:i w:val="0"/>
        </w:rPr>
        <w:t>The AI Reskilling Think Tank Platform project successfully delivers an open, full-stack reskilling guidance system. By combining labor data (O*NET), spaCy NLP extraction, scikit-learn gap analysis, PyJWT offline auth, and Google Gemini SSE streaming guidance, the platform enables displaced workers to navigate AI automation with data-backed career roadmaps.</w:t>
      </w:r>
    </w:p>
    <w:p>
      <w:pPr>
        <w:keepNext/>
        <w:spacing w:before="240" w:after="80"/>
      </w:pPr>
      <w:r>
        <w:rPr>
          <w:b/>
          <w:i w:val="0"/>
          <w:color w:val="2E75B6"/>
          <w:sz w:val="30"/>
        </w:rPr>
        <w:t>2. Objectives vs. Outcomes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</w:rPr>
              <w:t>Stated Objective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</w:rPr>
              <w:t>Outcome Achieved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1F4E78"/>
          </w:tcPr>
          <w:p>
            <w:pPr>
              <w:spacing w:before="40" w:after="40"/>
            </w:pPr>
            <w:r>
              <w:rPr>
                <w:b/>
                <w:i w:val="0"/>
                <w:color w:val="FFFFFF"/>
              </w:rPr>
              <w:t>Verification Method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/>
              </w:rPr>
              <w:t>O1: Deterministic Skill Extraction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Extracted verified skills from resumes in $&lt;3.0\text{s}$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35 API tests (</w:t>
            </w:r>
            <w:r>
              <w:rPr>
                <w:rFonts w:ascii="Consolas" w:hAnsi="Consolas"/>
                <w:color w:val="24292E"/>
                <w:sz w:val="19"/>
              </w:rPr>
              <w:t>test_api.py</w:t>
            </w:r>
            <w:r>
              <w:rPr>
                <w:b w:val="0"/>
                <w:i w:val="0"/>
              </w:rPr>
              <w:t>)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</w:rPr>
              <w:t>O2: Gap Readiness Score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Calculated 0-100% gap scores against 900+ O*NET jobs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10 Recommender tests (</w:t>
            </w:r>
            <w:r>
              <w:rPr>
                <w:rFonts w:ascii="Consolas" w:hAnsi="Consolas"/>
                <w:color w:val="24292E"/>
                <w:sz w:val="19"/>
              </w:rPr>
              <w:t>test_recommender.py</w:t>
            </w:r>
            <w:r>
              <w:rPr>
                <w:b w:val="0"/>
                <w:i w:val="0"/>
              </w:rPr>
              <w:t>)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/>
              </w:rPr>
              <w:t>O3: Streaming AI Career Guidance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Streamed real-time token advice via Gemini SSE endpoint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12 LLM tests (</w:t>
            </w:r>
            <w:r>
              <w:rPr>
                <w:rFonts w:ascii="Consolas" w:hAnsi="Consolas"/>
                <w:color w:val="24292E"/>
                <w:sz w:val="19"/>
              </w:rPr>
              <w:t>test_llm_reasoning.py</w:t>
            </w:r>
            <w:r>
              <w:rPr>
                <w:b w:val="0"/>
                <w:i w:val="0"/>
              </w:rPr>
              <w:t>)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</w:rPr>
              <w:t>O4: High-Performance Security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Implemented sub-2ms PyJWT offline token verification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8 Auth tests (</w:t>
            </w:r>
            <w:r>
              <w:rPr>
                <w:rFonts w:ascii="Consolas" w:hAnsi="Consolas"/>
                <w:color w:val="24292E"/>
                <w:sz w:val="19"/>
              </w:rPr>
              <w:t>test_auth.py</w:t>
            </w:r>
            <w:r>
              <w:rPr>
                <w:b w:val="0"/>
                <w:i w:val="0"/>
              </w:rPr>
              <w:t>)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/>
              </w:rPr>
              <w:t>O5: Modern React Frontend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Delivered React 19 SPA (</w:t>
            </w:r>
            <w:r>
              <w:rPr>
                <w:rFonts w:ascii="Consolas" w:hAnsi="Consolas"/>
                <w:color w:val="24292E"/>
                <w:sz w:val="19"/>
              </w:rPr>
              <w:t>CareerDev</w:t>
            </w:r>
            <w:r>
              <w:rPr>
                <w:b w:val="0"/>
                <w:i w:val="0"/>
              </w:rPr>
              <w:t>) with dark glassmorphic design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2F4F7"/>
          </w:tcPr>
          <w:p>
            <w:pPr>
              <w:spacing w:before="40" w:after="40"/>
            </w:pPr>
            <w:r>
              <w:rPr>
                <w:b w:val="0"/>
                <w:i w:val="0"/>
              </w:rPr>
              <w:t>TypeScript build verification &amp; manual UI check</w:t>
            </w:r>
          </w:p>
        </w:tc>
      </w:tr>
    </w:tbl>
    <w:p>
      <w:pPr>
        <w:keepNext/>
        <w:spacing w:before="240" w:after="80"/>
      </w:pPr>
      <w:r>
        <w:rPr>
          <w:b/>
          <w:i w:val="0"/>
          <w:color w:val="2E75B6"/>
          <w:sz w:val="30"/>
        </w:rPr>
        <w:t>3. Key Deliverables</w:t>
      </w:r>
    </w:p>
    <w:p>
      <w:pPr>
        <w:spacing w:before="40" w:after="80"/>
      </w:pPr>
      <w:r>
        <w:rPr>
          <w:b w:val="0"/>
          <w:i w:val="0"/>
        </w:rPr>
        <w:t xml:space="preserve">1. </w:t>
      </w:r>
      <w:r>
        <w:rPr>
          <w:b/>
        </w:rPr>
        <w:t>Backend REST API (`/reskilling-platform`):</w:t>
      </w:r>
      <w:r>
        <w:rPr>
          <w:b w:val="0"/>
          <w:i w:val="0"/>
        </w:rPr>
        <w:t xml:space="preserve"> FastAPI app with 15+ REST endpoints.</w:t>
      </w:r>
    </w:p>
    <w:p>
      <w:pPr>
        <w:spacing w:before="40" w:after="80"/>
      </w:pPr>
      <w:r>
        <w:rPr>
          <w:b w:val="0"/>
          <w:i w:val="0"/>
        </w:rPr>
        <w:t xml:space="preserve">2. </w:t>
      </w:r>
      <w:r>
        <w:rPr>
          <w:b/>
        </w:rPr>
        <w:t>Frontend UI (`/CareerDev`):</w:t>
      </w:r>
      <w:r>
        <w:rPr>
          <w:b w:val="0"/>
          <w:i w:val="0"/>
        </w:rPr>
        <w:t xml:space="preserve"> React 19 SPA with 5-step wizard, Skill Explorer, LRS Feed, and Admin Panel.</w:t>
      </w:r>
    </w:p>
    <w:p>
      <w:pPr>
        <w:spacing w:before="40" w:after="80"/>
      </w:pPr>
      <w:r>
        <w:rPr>
          <w:b w:val="0"/>
          <w:i w:val="0"/>
        </w:rPr>
        <w:t xml:space="preserve">3. </w:t>
      </w:r>
      <w:r>
        <w:rPr>
          <w:b/>
        </w:rPr>
        <w:t>Automated Test Suite:</w:t>
      </w:r>
      <w:r>
        <w:rPr>
          <w:b w:val="0"/>
          <w:i w:val="0"/>
        </w:rPr>
        <w:t xml:space="preserve"> 86 unit and integration tests (100% pass rate).</w:t>
      </w:r>
    </w:p>
    <w:p>
      <w:pPr>
        <w:spacing w:before="40" w:after="80"/>
      </w:pPr>
      <w:r>
        <w:rPr>
          <w:b w:val="0"/>
          <w:i w:val="0"/>
        </w:rPr>
        <w:t xml:space="preserve">4. </w:t>
      </w:r>
      <w:r>
        <w:rPr>
          <w:b/>
        </w:rPr>
        <w:t>Documentation Suite:</w:t>
      </w:r>
      <w:r>
        <w:rPr>
          <w:b w:val="0"/>
          <w:i w:val="0"/>
        </w:rPr>
        <w:t xml:space="preserve"> Master project documentation and modularized PRJ01 folder structure.</w:t>
      </w:r>
    </w:p>
    <w:p>
      <w:pPr>
        <w:keepNext/>
        <w:spacing w:before="240" w:after="80"/>
      </w:pPr>
      <w:r>
        <w:rPr>
          <w:b/>
          <w:i w:val="0"/>
          <w:color w:val="2E75B6"/>
          <w:sz w:val="30"/>
        </w:rPr>
        <w:t>4. Key Challenges &amp; Technical Solutions</w:t>
      </w:r>
    </w:p>
    <w:p>
      <w:pPr>
        <w:pStyle w:val="ListBullet"/>
        <w:spacing w:before="20" w:after="40"/>
      </w:pPr>
      <w:r>
        <w:rPr>
          <w:b/>
        </w:rPr>
        <w:t>Challenge:</w:t>
      </w:r>
      <w:r>
        <w:rPr>
          <w:b w:val="0"/>
          <w:i w:val="0"/>
        </w:rPr>
        <w:t xml:space="preserve"> WAN latency from Supabase remote token validation added ~300ms overhead per request.</w:t>
      </w:r>
    </w:p>
    <w:p>
      <w:pPr>
        <w:pStyle w:val="ListBullet"/>
        <w:spacing w:before="20" w:after="40"/>
      </w:pPr>
      <w:r>
        <w:rPr>
          <w:b/>
        </w:rPr>
        <w:t>Solution:</w:t>
      </w:r>
      <w:r>
        <w:rPr>
          <w:b w:val="0"/>
          <w:i w:val="0"/>
        </w:rPr>
        <w:t xml:space="preserve"> Switched to asymmetric local PyJWT verification, reducing check duration to $&lt;2\text{ms}$.</w:t>
      </w:r>
    </w:p>
    <w:p>
      <w:pPr>
        <w:pStyle w:val="ListBullet"/>
        <w:spacing w:before="20" w:after="40"/>
      </w:pPr>
      <w:r>
        <w:rPr>
          <w:b/>
        </w:rPr>
        <w:t>Challenge:</w:t>
      </w:r>
      <w:r>
        <w:rPr>
          <w:b w:val="0"/>
          <w:i w:val="0"/>
        </w:rPr>
        <w:t xml:space="preserve"> High latency when waiting for complete LLM responses.</w:t>
      </w:r>
    </w:p>
    <w:p>
      <w:pPr>
        <w:pStyle w:val="ListBullet"/>
        <w:spacing w:before="20" w:after="40"/>
      </w:pPr>
      <w:r>
        <w:rPr>
          <w:b/>
        </w:rPr>
        <w:t>Solution:</w:t>
      </w:r>
      <w:r>
        <w:rPr>
          <w:b w:val="0"/>
          <w:i w:val="0"/>
        </w:rPr>
        <w:t xml:space="preserve"> Replaced static JSON response with Server-Sent Events (SSE) streaming token output.</w:t>
      </w:r>
    </w:p>
    <w:p>
      <w:pPr>
        <w:keepNext/>
        <w:spacing w:before="240" w:after="80"/>
      </w:pPr>
      <w:r>
        <w:rPr>
          <w:b/>
          <w:i w:val="0"/>
          <w:color w:val="2E75B6"/>
          <w:sz w:val="30"/>
        </w:rPr>
        <w:t>5. Lessons Learned</w:t>
      </w:r>
    </w:p>
    <w:p>
      <w:pPr>
        <w:pStyle w:val="ListBullet"/>
        <w:spacing w:before="20" w:after="40"/>
      </w:pPr>
      <w:r>
        <w:rPr>
          <w:b w:val="0"/>
          <w:i w:val="0"/>
        </w:rPr>
        <w:t>Structuring clean dataclass schemas (</w:t>
      </w:r>
      <w:r>
        <w:rPr>
          <w:rFonts w:ascii="Consolas" w:hAnsi="Consolas"/>
          <w:color w:val="24292E"/>
          <w:sz w:val="19"/>
        </w:rPr>
        <w:t>schemas.py</w:t>
      </w:r>
      <w:r>
        <w:rPr>
          <w:b w:val="0"/>
          <w:i w:val="0"/>
        </w:rPr>
        <w:t>) early prevents circular dependencies when scaling FastAPI applications.</w:t>
      </w:r>
    </w:p>
    <w:p>
      <w:pPr>
        <w:pStyle w:val="ListBullet"/>
        <w:spacing w:before="20" w:after="40"/>
      </w:pPr>
      <w:r>
        <w:rPr>
          <w:b w:val="0"/>
          <w:i w:val="0"/>
        </w:rPr>
        <w:t>Offline token verification drastically improves API throughput and reduces user friction.</w:t>
      </w:r>
    </w:p>
    <w:p>
      <w:pPr>
        <w:keepNext/>
        <w:spacing w:before="240" w:after="80"/>
      </w:pPr>
      <w:r>
        <w:rPr>
          <w:b/>
          <w:i w:val="0"/>
          <w:color w:val="2E75B6"/>
          <w:sz w:val="30"/>
        </w:rPr>
        <w:t>6. Strategic Recommendations</w:t>
      </w:r>
    </w:p>
    <w:p>
      <w:pPr>
        <w:spacing w:before="40" w:after="80"/>
      </w:pPr>
      <w:r>
        <w:rPr>
          <w:b w:val="0"/>
          <w:i w:val="0"/>
        </w:rPr>
        <w:t>1. Integrate ESCO European taxonomy mappings to expand platform applicability.</w:t>
      </w:r>
    </w:p>
    <w:p>
      <w:pPr>
        <w:spacing w:before="40" w:after="80"/>
      </w:pPr>
      <w:r>
        <w:rPr>
          <w:b w:val="0"/>
          <w:i w:val="0"/>
        </w:rPr>
        <w:t>2. Implement Redis-backed distributed rate limiting for multi-instance production deployments.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