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F6E56"/>
          <w:sz w:val="40"/>
          <w:szCs w:val="40"/>
        </w:rPr>
        <w:t xml:space="preserve">Policy Brief Template</w:t>
      </w:r>
    </w:p>
    <w:p>
      <w:pPr>
        <w:spacing w:after="60"/>
      </w:pPr>
      <w:r>
        <w:rPr>
          <w:color w:val="5F5E5A"/>
          <w:sz w:val="26"/>
          <w:szCs w:val="26"/>
        </w:rPr>
        <w:t xml:space="preserve">AI Reskilling Think Tank Platform</w:t>
      </w:r>
    </w:p>
    <w:p>
      <w:pPr>
        <w:spacing w:after="300"/>
      </w:pPr>
      <w:r>
        <w:rPr>
          <w:i/>
          <w:iCs/>
          <w:color w:val="888780"/>
          <w:sz w:val="22"/>
          <w:szCs w:val="22"/>
        </w:rPr>
        <w:t xml:space="preserve">Version 1.0  |  Reusable Template — not a filled brief</w:t>
      </w:r>
    </w:p>
    <w:p>
      <w:pPr>
        <w:pBdr>
          <w:bottom w:val="single" w:color="0F6E56" w:sz="6" w:space="1"/>
        </w:pBdr>
        <w:spacing w:after="300"/>
      </w:pPr>
    </w:p>
    <w:p>
      <w:pPr>
        <w:spacing w:after="200"/>
      </w:pPr>
      <w:r>
        <w:rPr>
          <w:i/>
          <w:iCs/>
          <w:color w:val="888780"/>
          <w:sz w:val="20"/>
          <w:szCs w:val="20"/>
        </w:rPr>
        <w:t xml:space="preserve">[Instructions: This is a reusable template. Text in gray italics is guidance for the author and should be deleted before publishing. Shaded boxes indicate where platform-derived data should be inserted — for example, exported figures from the Workforce readiness dashboard or Labour market trends pages.]</w:t>
      </w:r>
    </w:p>
    <w:p>
      <w:pPr>
        <w:pStyle w:val="Heading1"/>
      </w:pPr>
      <w:r>
        <w:t xml:space="preserve">[Brief title — name the specific occupation, sector, or region this brief addresses]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e.g. "Automation Exposure and Reskilling Pathways for Data Entry Clerks in [Region]"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i/>
          <w:iCs/>
          <w:color w:val="888780"/>
          <w:sz w:val="20"/>
          <w:szCs w:val="20"/>
        </w:rPr>
        <w:t xml:space="preserve">[Instructions: 3–5 sentences. State the finding, its scale, and the recommended action. A policy maker should be able to read only this section and understand the brief’s conclusion.]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summary here]</w:t>
            </w:r>
          </w:p>
        </w:tc>
      </w:tr>
    </w:tbl>
    <w:p>
      <w:pPr>
        <w:pStyle w:val="Heading1"/>
      </w:pPr>
      <w:r>
        <w:t xml:space="preserve">2. Scope and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Occupation(s) or sector(s) covered — pull from the platform’s Labour market trends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Data sources used — cite the specific sources from the Labour Market Data Sources Catalogue relevant to this brief (e.g. O*NET for skill requirements, BLS OEWS for wage context).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Time period the underlying data reflects — note the taxonomy’s snapshot date per its staleness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scope and methodology here]</w:t>
            </w:r>
          </w:p>
        </w:tc>
      </w:tr>
    </w:tbl>
    <w:p>
      <w:pPr>
        <w:pStyle w:val="Heading1"/>
      </w:pPr>
      <w:r>
        <w:t xml:space="preserve">3. Findings</w:t>
      </w:r>
    </w:p>
    <w:p>
      <w:pPr>
        <w:pStyle w:val="Heading2"/>
      </w:pPr>
      <w:r>
        <w:t xml:space="preserve">3.1 Automation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Which tasks or skills within this occupation are most exposed to automation,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automation exposure findings here]</w:t>
            </w:r>
          </w:p>
        </w:tc>
      </w:tr>
    </w:tbl>
    <w:p>
      <w:pPr>
        <w:pStyle w:val="Heading2"/>
      </w:pPr>
      <w:r>
        <w:t xml:space="preserve">3.2 Skill gap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Aggregate readiness scores and the most common priority gaps observed across platform users targeting this occupation, if available — or the taxonomy’s top-importance required skills as a baseline if usage data is not yet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skill gap data here — e.g. export from Labour market trends page]</w:t>
            </w:r>
          </w:p>
        </w:tc>
      </w:tr>
    </w:tbl>
    <w:p>
      <w:pPr>
        <w:pStyle w:val="Heading2"/>
      </w:pPr>
      <w:r>
        <w:t xml:space="preserve">3.3 Labour market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Wage and employment trend data for the occupation and its most closely related reskilling target occupations, from BLS OEWS / ILOSTAT / World Bank sources as catalogued.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labour market context here]</w:t>
            </w:r>
          </w:p>
        </w:tc>
      </w:tr>
    </w:tbl>
    <w:p>
      <w:pPr>
        <w:pStyle w:val="Heading1"/>
      </w:pPr>
      <w:r>
        <w:t xml:space="preserve">4. Recommendations</w:t>
      </w:r>
    </w:p>
    <w:p>
      <w:pPr>
        <w:spacing w:after="200"/>
      </w:pPr>
      <w:r>
        <w:rPr>
          <w:i/>
          <w:iCs/>
          <w:color w:val="888780"/>
          <w:sz w:val="20"/>
          <w:szCs w:val="20"/>
        </w:rPr>
        <w:t xml:space="preserve">[Instructions: Each recommendation should name a specific actor (government body, employer association, training provider) and a specific action — avoid recommendations no one is positioned to act on.]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recommendation 1, actor, and rationale]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recommendation 2, actor, and rationale]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recommendation 3, actor, and rationale]</w:t>
            </w:r>
          </w:p>
        </w:tc>
      </w:tr>
    </w:tbl>
    <w:p>
      <w:pPr>
        <w:pStyle w:val="Heading1"/>
      </w:pPr>
      <w:r>
        <w:t xml:space="preserve">5. Limitations</w:t>
      </w:r>
    </w:p>
    <w:p>
      <w:pPr>
        <w:spacing w:after="200"/>
      </w:pPr>
      <w:r>
        <w:rPr>
          <w:i/>
          <w:iCs/>
          <w:color w:val="888780"/>
          <w:sz w:val="20"/>
          <w:szCs w:val="20"/>
        </w:rPr>
        <w:t xml:space="preserve">[Instructions: State what this brief does not cover, and what data quality caveats apply. This section is not optional — a credible policy brief names its own limitations.]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Note the taxonomy’s Known Limitations section (see Skills Taxonomy Document §5) if relevant — e.g. unmapped domain classifications, cluster granularity.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5F5E5A"/>
          <w:sz w:val="22"/>
          <w:szCs w:val="22"/>
        </w:rPr>
        <w:t xml:space="preserve">Note sample size caveats if this brief is based on platform usage data rather than the underlying O*NET/BLS baseline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limitations here]</w:t>
            </w:r>
          </w:p>
        </w:tc>
      </w:tr>
    </w:tbl>
    <w:p>
      <w:pPr>
        <w:pStyle w:val="Heading1"/>
      </w:pPr>
      <w:r>
        <w:t xml:space="preserve">6. Sources</w:t>
      </w:r>
    </w:p>
    <w:p>
      <w:pPr>
        <w:spacing w:after="200"/>
      </w:pPr>
      <w:r>
        <w:rPr>
          <w:i/>
          <w:iCs/>
          <w:color w:val="888780"/>
          <w:sz w:val="20"/>
          <w:szCs w:val="20"/>
        </w:rPr>
        <w:t xml:space="preserve">[Instructions: List every data source cited in this brief, matching entries in the Labour Market Data Sources Catalogue. Include access dates for any source without a fixed publication date.]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i/>
                <w:iCs/>
                <w:color w:val="888780"/>
                <w:sz w:val="20"/>
                <w:szCs w:val="20"/>
              </w:rPr>
              <w:t xml:space="preserve">[Insert source list here]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2026-07-02T05:17:19.920Z</dcterms:created>
  <dcterms:modified xsi:type="dcterms:W3CDTF">2026-07-02T05:17:19.920Z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