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82FB" w14:textId="77777777" w:rsidR="00E83994" w:rsidRDefault="00E83994">
      <w:pPr>
        <w:spacing w:after="120"/>
        <w:rPr>
          <w:b/>
          <w:bCs/>
          <w:color w:val="0F6E56"/>
          <w:sz w:val="40"/>
          <w:szCs w:val="40"/>
        </w:rPr>
      </w:pPr>
    </w:p>
    <w:p w14:paraId="4A3EDA6F" w14:textId="77777777" w:rsidR="00E83994" w:rsidRDefault="00E83994">
      <w:pPr>
        <w:spacing w:after="120"/>
        <w:rPr>
          <w:b/>
          <w:bCs/>
          <w:color w:val="0F6E56"/>
          <w:sz w:val="40"/>
          <w:szCs w:val="40"/>
        </w:rPr>
      </w:pPr>
    </w:p>
    <w:p w14:paraId="3EF7B0C7" w14:textId="4D2CC999" w:rsidR="00F03F9B" w:rsidRDefault="00000000">
      <w:pPr>
        <w:spacing w:after="120"/>
      </w:pPr>
      <w:r>
        <w:rPr>
          <w:b/>
          <w:bCs/>
          <w:color w:val="0F6E56"/>
          <w:sz w:val="40"/>
          <w:szCs w:val="40"/>
        </w:rPr>
        <w:t>Project Charter</w:t>
      </w:r>
    </w:p>
    <w:p w14:paraId="3F458714" w14:textId="77777777" w:rsidR="00F03F9B" w:rsidRDefault="00000000">
      <w:pPr>
        <w:spacing w:after="60"/>
      </w:pPr>
      <w:r>
        <w:rPr>
          <w:color w:val="5F5E5A"/>
          <w:sz w:val="26"/>
          <w:szCs w:val="26"/>
        </w:rPr>
        <w:t>AI Reskilling Think Tank Platform</w:t>
      </w:r>
    </w:p>
    <w:p w14:paraId="695BDA5D" w14:textId="77777777" w:rsidR="00F03F9B" w:rsidRDefault="00000000">
      <w:pPr>
        <w:spacing w:after="400"/>
      </w:pPr>
      <w:r>
        <w:rPr>
          <w:i/>
          <w:iCs/>
          <w:color w:val="888780"/>
        </w:rPr>
        <w:t>Version 1.0  |  Stakeholder Reference Document</w:t>
      </w:r>
    </w:p>
    <w:p w14:paraId="03D5024C" w14:textId="77777777" w:rsidR="00F03F9B" w:rsidRDefault="00F03F9B">
      <w:pPr>
        <w:pBdr>
          <w:bottom w:val="single" w:sz="6" w:space="1" w:color="0F6E56"/>
        </w:pBdr>
        <w:spacing w:after="400"/>
      </w:pPr>
    </w:p>
    <w:p w14:paraId="1DC5CF4A" w14:textId="77777777" w:rsidR="00F03F9B" w:rsidRDefault="00000000">
      <w:pPr>
        <w:pStyle w:val="Heading1"/>
      </w:pPr>
      <w:r>
        <w:t>1. Problem statement</w:t>
      </w:r>
    </w:p>
    <w:p w14:paraId="48AE0DC5" w14:textId="77777777" w:rsidR="00F03F9B" w:rsidRDefault="00000000">
      <w:pPr>
        <w:spacing w:after="160"/>
      </w:pPr>
      <w:r>
        <w:t xml:space="preserve">Workers whose jobs are affected by AI-driven automation lack access to targeted, data-grounded reskilling pathways and </w:t>
      </w:r>
      <w:proofErr w:type="spellStart"/>
      <w:r>
        <w:t>labour</w:t>
      </w:r>
      <w:proofErr w:type="spellEnd"/>
      <w:r>
        <w:t xml:space="preserve"> market insight. Generic career advice is too broad to act on, and generative AI tools used naively for this purpose routinely invent courses, certifications, and skills that do not exist — rendering their recommendations unusable for real career decisions.</w:t>
      </w:r>
    </w:p>
    <w:p w14:paraId="585307C5" w14:textId="77777777" w:rsidR="00F03F9B" w:rsidRDefault="00000000">
      <w:pPr>
        <w:pStyle w:val="Heading1"/>
      </w:pPr>
      <w:r>
        <w:t>2. Solution summary</w:t>
      </w:r>
    </w:p>
    <w:p w14:paraId="045DFC2B" w14:textId="77777777" w:rsidR="00F03F9B" w:rsidRDefault="00000000">
      <w:pPr>
        <w:spacing w:after="160"/>
      </w:pPr>
      <w:r>
        <w:t xml:space="preserve">A platform that grounds every skill-gap recommendation in a standardized, government-sourced occupational taxonomy (O*NET), extracts a person’s existing skills from their resume using natural language processing, computes an importance-weighted readiness score against any of over 1,000 occupations, and records every assessment as a standards-compliant </w:t>
      </w:r>
      <w:proofErr w:type="spellStart"/>
      <w:r>
        <w:t>xAPI</w:t>
      </w:r>
      <w:proofErr w:type="spellEnd"/>
      <w:r>
        <w:t xml:space="preserve"> competency record. The system is designed so its core recommendation is never dependent on a generative AI model — it is deterministic and explainable by construction, with generative reasoning planned as an additive, clearly-labeled enhancement layer rather than the foundation.</w:t>
      </w:r>
    </w:p>
    <w:p w14:paraId="249FAACE" w14:textId="77777777" w:rsidR="00F03F9B" w:rsidRDefault="00000000">
      <w:pPr>
        <w:pStyle w:val="Heading1"/>
      </w:pPr>
      <w:r>
        <w:t xml:space="preserve">3. </w:t>
      </w:r>
      <w:proofErr w:type="gramStart"/>
      <w:r>
        <w:t>Current status</w:t>
      </w:r>
      <w:proofErr w:type="gramEnd"/>
    </w:p>
    <w:p w14:paraId="1C68689F" w14:textId="77777777" w:rsidR="00F03F9B" w:rsidRDefault="00000000">
      <w:pPr>
        <w:spacing w:after="160"/>
      </w:pPr>
      <w:r>
        <w:t>The following capabilities are built, unit-tested, and running end-to-end today:</w:t>
      </w:r>
    </w:p>
    <w:p w14:paraId="6C824FAF" w14:textId="77777777" w:rsidR="00F03F9B" w:rsidRDefault="00000000">
      <w:pPr>
        <w:pStyle w:val="ListParagraph"/>
        <w:numPr>
          <w:ilvl w:val="0"/>
          <w:numId w:val="2"/>
        </w:numPr>
        <w:spacing w:after="80"/>
      </w:pPr>
      <w:r>
        <w:t xml:space="preserve">A skills taxonomy of O*NET-derived general competencies and technology-specific skills, joined to occupation and importance data, with documented governance and provenance (Skills Taxonomy Document, </w:t>
      </w:r>
      <w:proofErr w:type="spellStart"/>
      <w:r>
        <w:t>Labour</w:t>
      </w:r>
      <w:proofErr w:type="spellEnd"/>
      <w:r>
        <w:t xml:space="preserve"> Market Data Sources Catalogue).</w:t>
      </w:r>
    </w:p>
    <w:p w14:paraId="5E37E80E" w14:textId="77777777" w:rsidR="00F03F9B" w:rsidRDefault="00000000">
      <w:pPr>
        <w:pStyle w:val="ListParagraph"/>
        <w:numPr>
          <w:ilvl w:val="0"/>
          <w:numId w:val="2"/>
        </w:numPr>
        <w:spacing w:after="80"/>
      </w:pPr>
      <w:r>
        <w:t>A layered NLP skill-extraction pipeline (</w:t>
      </w:r>
      <w:proofErr w:type="spellStart"/>
      <w:r>
        <w:t>spaCy</w:t>
      </w:r>
      <w:proofErr w:type="spellEnd"/>
      <w:r>
        <w:t xml:space="preserve"> </w:t>
      </w:r>
      <w:proofErr w:type="spellStart"/>
      <w:r>
        <w:t>PhraseMatcher</w:t>
      </w:r>
      <w:proofErr w:type="spellEnd"/>
      <w:r>
        <w:t xml:space="preserve"> with embedding-based fallback) that identifies skills in free text without ever inventing one </w:t>
      </w:r>
      <w:proofErr w:type="gramStart"/>
      <w:r>
        <w:t>not present</w:t>
      </w:r>
      <w:proofErr w:type="gramEnd"/>
      <w:r>
        <w:t xml:space="preserve"> in the taxonomy.</w:t>
      </w:r>
    </w:p>
    <w:p w14:paraId="21CE481D" w14:textId="77777777" w:rsidR="00F03F9B" w:rsidRDefault="00000000">
      <w:pPr>
        <w:pStyle w:val="ListParagraph"/>
        <w:numPr>
          <w:ilvl w:val="0"/>
          <w:numId w:val="2"/>
        </w:numPr>
        <w:spacing w:after="80"/>
      </w:pPr>
      <w:r>
        <w:t>An importance-weighted gap analysis engine producing a defensible readiness score, not a naive flat percentage — covered by 9 passing unit tests.</w:t>
      </w:r>
    </w:p>
    <w:p w14:paraId="01B15103" w14:textId="77777777" w:rsidR="00F03F9B" w:rsidRDefault="00000000">
      <w:pPr>
        <w:pStyle w:val="ListParagraph"/>
        <w:numPr>
          <w:ilvl w:val="0"/>
          <w:numId w:val="2"/>
        </w:numPr>
        <w:spacing w:after="80"/>
      </w:pPr>
      <w:r>
        <w:t xml:space="preserve">An </w:t>
      </w:r>
      <w:proofErr w:type="spellStart"/>
      <w:r>
        <w:t>xAPI</w:t>
      </w:r>
      <w:proofErr w:type="spellEnd"/>
      <w:r>
        <w:t>-compliant Learning Record Store logging every assessment as a standards-format competency statement — covered by 8 passing unit tests.</w:t>
      </w:r>
    </w:p>
    <w:p w14:paraId="0A7D96B7" w14:textId="77777777" w:rsidR="00F03F9B" w:rsidRDefault="00000000">
      <w:pPr>
        <w:pStyle w:val="ListParagraph"/>
        <w:numPr>
          <w:ilvl w:val="0"/>
          <w:numId w:val="2"/>
        </w:numPr>
        <w:spacing w:after="80"/>
      </w:pPr>
      <w:r>
        <w:t xml:space="preserve">A five-page interactive </w:t>
      </w:r>
      <w:proofErr w:type="spellStart"/>
      <w:r>
        <w:t>Streamlit</w:t>
      </w:r>
      <w:proofErr w:type="spellEnd"/>
      <w:r>
        <w:t xml:space="preserve"> dashboard: workforce readiness overview, resume upload and extraction, </w:t>
      </w:r>
      <w:proofErr w:type="spellStart"/>
      <w:r>
        <w:t>labour</w:t>
      </w:r>
      <w:proofErr w:type="spellEnd"/>
      <w:r>
        <w:t xml:space="preserve"> market trends explorer, personalized reskilling pathway, and a Learning Record Store viewer.</w:t>
      </w:r>
    </w:p>
    <w:p w14:paraId="0F0BADEC" w14:textId="77777777" w:rsidR="00F03F9B" w:rsidRDefault="00000000">
      <w:pPr>
        <w:pStyle w:val="ListParagraph"/>
        <w:numPr>
          <w:ilvl w:val="0"/>
          <w:numId w:val="2"/>
        </w:numPr>
        <w:spacing w:after="80"/>
      </w:pPr>
      <w:r>
        <w:lastRenderedPageBreak/>
        <w:t>Full architecture documentation: system architecture, data pipeline, UML use case, and UML component diagrams, all reflecting the actual, tested codebase rather than an aspirational design.</w:t>
      </w:r>
    </w:p>
    <w:p w14:paraId="4E1BED1F" w14:textId="77777777" w:rsidR="00F03F9B" w:rsidRDefault="00000000">
      <w:pPr>
        <w:pStyle w:val="ListParagraph"/>
        <w:numPr>
          <w:ilvl w:val="0"/>
          <w:numId w:val="2"/>
        </w:numPr>
        <w:spacing w:after="80"/>
      </w:pPr>
      <w:r>
        <w:t xml:space="preserve">A </w:t>
      </w:r>
      <w:proofErr w:type="spellStart"/>
      <w:r>
        <w:t>FastAPI</w:t>
      </w:r>
      <w:proofErr w:type="spellEnd"/>
      <w:r>
        <w:t xml:space="preserve"> service (</w:t>
      </w:r>
      <w:proofErr w:type="spellStart"/>
      <w:r>
        <w:t>app_api</w:t>
      </w:r>
      <w:proofErr w:type="spellEnd"/>
      <w:r>
        <w:t>/) exposing the tested core as REST endpoints — skill extraction, gap analysis, occupation lookup, and LRS statement retrieval — with 35 automated tests now passing across the full stack. This is Phase A of the roadmap in §5, and completes the "AI Microservice" component described in the reviewed production architecture proposal.</w:t>
      </w:r>
    </w:p>
    <w:p w14:paraId="2064AA46" w14:textId="77777777" w:rsidR="00F03F9B" w:rsidRDefault="00000000">
      <w:pPr>
        <w:pStyle w:val="ListParagraph"/>
        <w:numPr>
          <w:ilvl w:val="0"/>
          <w:numId w:val="2"/>
        </w:numPr>
        <w:spacing w:after="80"/>
      </w:pPr>
      <w:r>
        <w:t xml:space="preserve">A Next.js (TypeScript) frontend mirroring every </w:t>
      </w:r>
      <w:proofErr w:type="spellStart"/>
      <w:r>
        <w:t>Streamlit</w:t>
      </w:r>
      <w:proofErr w:type="spellEnd"/>
      <w:r>
        <w:t xml:space="preserve"> page, calling the same </w:t>
      </w:r>
      <w:proofErr w:type="spellStart"/>
      <w:r>
        <w:t>FastAPI</w:t>
      </w:r>
      <w:proofErr w:type="spellEnd"/>
      <w:r>
        <w:t xml:space="preserve"> service through a shared API contract — Phase B of the roadmap, verified via a full TypeScript type-check with zero errors. See the Unified Platform Architecture Proposal §8.4 for verification detail and a transparently-recorded security finding that was caught and fixed during the build, not glossed over.</w:t>
      </w:r>
    </w:p>
    <w:p w14:paraId="50E4FFB8" w14:textId="77777777" w:rsidR="00F03F9B" w:rsidRDefault="00000000">
      <w:pPr>
        <w:pStyle w:val="ListParagraph"/>
        <w:numPr>
          <w:ilvl w:val="0"/>
          <w:numId w:val="2"/>
        </w:numPr>
        <w:spacing w:after="80"/>
      </w:pPr>
      <w:r>
        <w:t xml:space="preserve">A </w:t>
      </w:r>
      <w:proofErr w:type="spellStart"/>
      <w:r>
        <w:t>Supabase</w:t>
      </w:r>
      <w:proofErr w:type="spellEnd"/>
      <w:r>
        <w:t xml:space="preserve"> (Postgres) schema, migration script, and JWT authentication layer for Phase C — per-user gap-analysis history and </w:t>
      </w:r>
      <w:proofErr w:type="spellStart"/>
      <w:r>
        <w:t>xAPI</w:t>
      </w:r>
      <w:proofErr w:type="spellEnd"/>
      <w:r>
        <w:t xml:space="preserve"> statements, protected by database-level Row Level Security, additive alongside the existing anonymous demo path. Live connectivity to a real </w:t>
      </w:r>
      <w:proofErr w:type="spellStart"/>
      <w:r>
        <w:t>Supabase</w:t>
      </w:r>
      <w:proofErr w:type="spellEnd"/>
      <w:r>
        <w:t xml:space="preserve"> project has not yet been verified in this environment; see §8.5 for exactly what was and wasn’t testable without it.</w:t>
      </w:r>
    </w:p>
    <w:p w14:paraId="7C3309D6" w14:textId="77777777" w:rsidR="00F03F9B" w:rsidRDefault="00000000">
      <w:pPr>
        <w:pStyle w:val="ListParagraph"/>
        <w:numPr>
          <w:ilvl w:val="0"/>
          <w:numId w:val="2"/>
        </w:numPr>
        <w:spacing w:after="80"/>
      </w:pPr>
      <w:r>
        <w:t>Gemini-backed career reasoning for Phase D, using the Emerging Skill Holding Pen anti-hallucination pattern — every LLM suggestion is checked against the taxonomy before being trusted, and tagged distinctly if it isn’t a match, rather than silently accepted or discarded. Rate limiting and response caching were built in the same phase, not after. 61 automated tests now pass in total. Live connectivity to the real Gemini API has not yet been verified; see §8.6.</w:t>
      </w:r>
    </w:p>
    <w:p w14:paraId="4D0D4855" w14:textId="77777777" w:rsidR="00F03F9B" w:rsidRDefault="00000000">
      <w:pPr>
        <w:pStyle w:val="ListParagraph"/>
        <w:numPr>
          <w:ilvl w:val="0"/>
          <w:numId w:val="2"/>
        </w:numPr>
        <w:spacing w:after="80"/>
      </w:pPr>
      <w:r>
        <w:t>Domain-grouped reskilling roadmap tracks and production hardening for Phase E, completing the original five-phase roadmap: input sanitization against prompt injection, request latency monitoring (live-verified at 3.9–150ms, under the 200ms target), and a genuine SSE streaming endpoint using real token-by-token generation rather than a fabricated progress indicator. 68 automated tests now pass in total. See §8.7 for what was and wasn’t verifiable without a live Gemini connection.</w:t>
      </w:r>
    </w:p>
    <w:p w14:paraId="119CCCCF" w14:textId="77777777" w:rsidR="00F03F9B" w:rsidRDefault="00000000">
      <w:pPr>
        <w:pStyle w:val="ListParagraph"/>
        <w:numPr>
          <w:ilvl w:val="0"/>
          <w:numId w:val="2"/>
        </w:numPr>
        <w:spacing w:after="80"/>
      </w:pPr>
      <w:r>
        <w:t xml:space="preserve">Real </w:t>
      </w:r>
      <w:proofErr w:type="spellStart"/>
      <w:r>
        <w:t>Supabase</w:t>
      </w:r>
      <w:proofErr w:type="spellEnd"/>
      <w:r>
        <w:t xml:space="preserve"> Auth login/sign-up, an AI career guidance page, and a saved-analysis history page, all in the Next.js app — built after an internal audit found these had been described in documentation before their UI existed, and a genuine production-build bug in the </w:t>
      </w:r>
      <w:proofErr w:type="spellStart"/>
      <w:r>
        <w:t>Supabase</w:t>
      </w:r>
      <w:proofErr w:type="spellEnd"/>
      <w:r>
        <w:t xml:space="preserve"> client wrapper that this audit surfaced and fixed. See §8.8 for the full account.</w:t>
      </w:r>
    </w:p>
    <w:p w14:paraId="4769D234" w14:textId="29FE140C" w:rsidR="00F03F9B" w:rsidRDefault="00000000">
      <w:pPr>
        <w:pStyle w:val="ListParagraph"/>
        <w:numPr>
          <w:ilvl w:val="0"/>
          <w:numId w:val="2"/>
        </w:numPr>
        <w:spacing w:after="80"/>
      </w:pPr>
      <w:r>
        <w:t>Role-based access control (</w:t>
      </w:r>
      <w:proofErr w:type="spellStart"/>
      <w:r>
        <w:t>job_seeker</w:t>
      </w:r>
      <w:proofErr w:type="spellEnd"/>
      <w:r>
        <w:t xml:space="preserve">, </w:t>
      </w:r>
      <w:proofErr w:type="spellStart"/>
      <w:r>
        <w:t>workforce_analyst</w:t>
      </w:r>
      <w:proofErr w:type="spellEnd"/>
      <w:r>
        <w:t>, administrator, enforced by a database trigger rather than trusted client input) and grounded learning-resource links on every roadmap skill — real admin-curated courses where vetted, guaranteed-valid search links otherwise, never an invented course name or UR</w:t>
      </w:r>
      <w:r w:rsidR="00E83994">
        <w:t>L</w:t>
      </w:r>
      <w:r>
        <w:t>.</w:t>
      </w:r>
    </w:p>
    <w:p w14:paraId="41B1E6CA" w14:textId="77777777" w:rsidR="00F03F9B" w:rsidRDefault="00000000">
      <w:pPr>
        <w:pStyle w:val="Heading1"/>
      </w:pPr>
      <w:r>
        <w:t>4. What is not yet built, and why that is a deliberate sequencing choice</w:t>
      </w:r>
    </w:p>
    <w:p w14:paraId="60EF9B50" w14:textId="77777777" w:rsidR="00F03F9B" w:rsidRDefault="00000000">
      <w:pPr>
        <w:pStyle w:val="ListParagraph"/>
        <w:numPr>
          <w:ilvl w:val="0"/>
          <w:numId w:val="2"/>
        </w:numPr>
        <w:spacing w:after="80"/>
      </w:pPr>
      <w:r>
        <w:t xml:space="preserve">Multi-user authentication and a hosted relational database — deferred until the core recommendation logic and frontend are proven, to avoid taking on new frameworks and new infrastructure decisions simultaneously. When this phase begins, Postgres via </w:t>
      </w:r>
      <w:proofErr w:type="spellStart"/>
      <w:r>
        <w:lastRenderedPageBreak/>
        <w:t>Supabase</w:t>
      </w:r>
      <w:proofErr w:type="spellEnd"/>
      <w:r>
        <w:t xml:space="preserve"> is the recommended choice over </w:t>
      </w:r>
      <w:proofErr w:type="spellStart"/>
      <w:r>
        <w:t>Appwrite</w:t>
      </w:r>
      <w:proofErr w:type="spellEnd"/>
      <w:r>
        <w:t>, for data portability reasons detailed in the Unified Platform Architecture Proposal §8.2.</w:t>
      </w:r>
    </w:p>
    <w:p w14:paraId="63263449" w14:textId="77777777" w:rsidR="00F03F9B" w:rsidRDefault="00000000">
      <w:pPr>
        <w:pStyle w:val="ListParagraph"/>
        <w:numPr>
          <w:ilvl w:val="0"/>
          <w:numId w:val="2"/>
        </w:numPr>
        <w:spacing w:after="80"/>
      </w:pPr>
      <w:r>
        <w:t>Generative AI (LLM) reasoning for open-ended career guidance beyond the fixed taxonomy — deferred so the platform’s core trust proposition never depends on it; when introduced, it will be gated by an anti-hallucination validation pattern rather than trusted directly.</w:t>
      </w:r>
    </w:p>
    <w:p w14:paraId="4BB0C7C2" w14:textId="77777777" w:rsidR="00F03F9B" w:rsidRDefault="00000000">
      <w:pPr>
        <w:pStyle w:val="ListParagraph"/>
        <w:numPr>
          <w:ilvl w:val="0"/>
          <w:numId w:val="2"/>
        </w:numPr>
        <w:spacing w:after="80"/>
      </w:pPr>
      <w:r>
        <w:t>A dependency-graph (DAG) roadmap visualization for parallel learning tracks — deferred until there is genuinely multi-track gap data to justify the added UI complexity.</w:t>
      </w:r>
    </w:p>
    <w:p w14:paraId="57EC4540" w14:textId="77777777" w:rsidR="00F03F9B" w:rsidRDefault="00000000">
      <w:pPr>
        <w:spacing w:after="160"/>
      </w:pPr>
      <w:r>
        <w:t>Full detail on this sequencing, including a risk register and phase-by-phase roadmap, is documented in the Unified Platform Architecture Proposal.</w:t>
      </w:r>
    </w:p>
    <w:p w14:paraId="1E29980C" w14:textId="77777777" w:rsidR="00F03F9B" w:rsidRDefault="00000000">
      <w:pPr>
        <w:pStyle w:val="Heading1"/>
      </w:pPr>
      <w:r>
        <w:t>5. Why this approach, versus building the full production stack immediately</w:t>
      </w:r>
    </w:p>
    <w:p w14:paraId="3CBAB823" w14:textId="77777777" w:rsidR="00F03F9B" w:rsidRDefault="00000000">
      <w:pPr>
        <w:spacing w:after="160"/>
      </w:pPr>
      <w:r>
        <w:t xml:space="preserve">An earlier-stage, more ambitious architecture proposal (Next.js/TypeScript frontend, </w:t>
      </w:r>
      <w:proofErr w:type="spellStart"/>
      <w:r>
        <w:t>Appwrite</w:t>
      </w:r>
      <w:proofErr w:type="spellEnd"/>
      <w:r>
        <w:t xml:space="preserve"> cloud backend, </w:t>
      </w:r>
      <w:proofErr w:type="spellStart"/>
      <w:r>
        <w:t>FastAPI</w:t>
      </w:r>
      <w:proofErr w:type="spellEnd"/>
      <w:r>
        <w:t xml:space="preserve"> microservice, Gemini LLM reasoning, DAG roadmap) was reviewed against the current build. The two are not competing designs — they describe the same platform at two different maturity stages, and the recommendation is to build the more ambitious version on top of the already-tested core rather than rewriting it from scratch. This preserves the testing and validation already completed, and reduces the risk of taking on several unproven technologies at once.</w:t>
      </w:r>
    </w:p>
    <w:p w14:paraId="6236DDE5" w14:textId="77777777" w:rsidR="00F03F9B" w:rsidRDefault="00000000">
      <w:pPr>
        <w:pStyle w:val="Heading1"/>
      </w:pPr>
      <w:r>
        <w:t>6. Document index</w:t>
      </w:r>
    </w:p>
    <w:p w14:paraId="6DEB8975" w14:textId="77777777" w:rsidR="00F03F9B" w:rsidRDefault="00000000">
      <w:pPr>
        <w:spacing w:after="160"/>
      </w:pPr>
      <w:r>
        <w:t>The following documents together constitute the complete project record. Each is referenced, not duplicated,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03F9B" w14:paraId="204659C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0054398" w14:textId="77777777" w:rsidR="00F03F9B" w:rsidRDefault="00000000">
            <w:r>
              <w:rPr>
                <w:b/>
                <w:bCs/>
                <w:color w:val="FFFFFF"/>
                <w:sz w:val="19"/>
                <w:szCs w:val="19"/>
              </w:rPr>
              <w:t>Document</w:t>
            </w:r>
          </w:p>
        </w:tc>
        <w:tc>
          <w:tcPr>
            <w:tcW w:w="59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4FEDBE2" w14:textId="77777777" w:rsidR="00F03F9B" w:rsidRDefault="00000000">
            <w:r>
              <w:rPr>
                <w:b/>
                <w:bCs/>
                <w:color w:val="FFFFFF"/>
                <w:sz w:val="19"/>
                <w:szCs w:val="19"/>
              </w:rPr>
              <w:t>Purpose</w:t>
            </w:r>
          </w:p>
        </w:tc>
      </w:tr>
      <w:tr w:rsidR="00F03F9B" w14:paraId="10510EF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DEAA0" w14:textId="77777777" w:rsidR="00F03F9B" w:rsidRDefault="00000000">
            <w:r>
              <w:rPr>
                <w:b/>
                <w:bCs/>
                <w:sz w:val="18"/>
                <w:szCs w:val="18"/>
              </w:rPr>
              <w:t>Project Charter</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EC7BA" w14:textId="77777777" w:rsidR="00F03F9B" w:rsidRDefault="00000000">
            <w:r>
              <w:rPr>
                <w:sz w:val="18"/>
                <w:szCs w:val="18"/>
              </w:rPr>
              <w:t>This document — stakeholder-facing overview and justification</w:t>
            </w:r>
          </w:p>
        </w:tc>
      </w:tr>
      <w:tr w:rsidR="00F03F9B" w14:paraId="52C7863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84F96" w14:textId="77777777" w:rsidR="00F03F9B" w:rsidRDefault="00000000">
            <w:r>
              <w:rPr>
                <w:b/>
                <w:bCs/>
                <w:sz w:val="18"/>
                <w:szCs w:val="18"/>
              </w:rPr>
              <w:t>Skills Taxonomy Document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1DAE7" w14:textId="77777777" w:rsidR="00F03F9B" w:rsidRDefault="00000000">
            <w:r>
              <w:rPr>
                <w:sz w:val="18"/>
                <w:szCs w:val="18"/>
              </w:rPr>
              <w:t>Data model, sources, filtering rules, and governance for the skills taxonomy</w:t>
            </w:r>
          </w:p>
        </w:tc>
      </w:tr>
      <w:tr w:rsidR="00F03F9B" w14:paraId="584C9C4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C673" w14:textId="77777777" w:rsidR="00F03F9B" w:rsidRDefault="00000000">
            <w:proofErr w:type="spellStart"/>
            <w:r>
              <w:rPr>
                <w:b/>
                <w:bCs/>
                <w:sz w:val="18"/>
                <w:szCs w:val="18"/>
              </w:rPr>
              <w:t>Labour</w:t>
            </w:r>
            <w:proofErr w:type="spellEnd"/>
            <w:r>
              <w:rPr>
                <w:b/>
                <w:bCs/>
                <w:sz w:val="18"/>
                <w:szCs w:val="18"/>
              </w:rPr>
              <w:t xml:space="preserve"> Market Data Sources Catalogue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B0006" w14:textId="77777777" w:rsidR="00F03F9B" w:rsidRDefault="00000000">
            <w:r>
              <w:rPr>
                <w:sz w:val="18"/>
                <w:szCs w:val="18"/>
              </w:rPr>
              <w:t>Every external data source used, with licensing and refresh cadence</w:t>
            </w:r>
          </w:p>
        </w:tc>
      </w:tr>
      <w:tr w:rsidR="00F03F9B" w14:paraId="62C65A2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42F2E" w14:textId="77777777" w:rsidR="00F03F9B" w:rsidRDefault="00000000">
            <w:r>
              <w:rPr>
                <w:b/>
                <w:bCs/>
                <w:sz w:val="18"/>
                <w:szCs w:val="18"/>
              </w:rPr>
              <w:t>Architecture Diagrams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2C257" w14:textId="77777777" w:rsidR="00F03F9B" w:rsidRDefault="00000000">
            <w:r>
              <w:rPr>
                <w:sz w:val="18"/>
                <w:szCs w:val="18"/>
              </w:rPr>
              <w:t>System architecture, data pipeline, UML use case, and UML component diagrams</w:t>
            </w:r>
          </w:p>
        </w:tc>
      </w:tr>
      <w:tr w:rsidR="00F03F9B" w14:paraId="08E655F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D35C6" w14:textId="77777777" w:rsidR="00F03F9B" w:rsidRDefault="00000000">
            <w:r>
              <w:rPr>
                <w:b/>
                <w:bCs/>
                <w:sz w:val="18"/>
                <w:szCs w:val="18"/>
              </w:rPr>
              <w:t>Unified Platform Architecture Proposal</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4E231" w14:textId="77777777" w:rsidR="00F03F9B" w:rsidRDefault="00000000">
            <w:r>
              <w:rPr>
                <w:sz w:val="18"/>
                <w:szCs w:val="18"/>
              </w:rPr>
              <w:t>Comparative analysis, trade-offs, and phased roadmap toward the full production architecture</w:t>
            </w:r>
          </w:p>
        </w:tc>
      </w:tr>
      <w:tr w:rsidR="00F03F9B" w14:paraId="3D1411C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D5268" w14:textId="77777777" w:rsidR="00F03F9B" w:rsidRDefault="00000000">
            <w:r>
              <w:rPr>
                <w:b/>
                <w:bCs/>
                <w:sz w:val="18"/>
                <w:szCs w:val="18"/>
              </w:rPr>
              <w:t>Platform User Manual</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F198C" w14:textId="77777777" w:rsidR="00F03F9B" w:rsidRDefault="00000000">
            <w:r>
              <w:rPr>
                <w:sz w:val="18"/>
                <w:szCs w:val="18"/>
              </w:rPr>
              <w:t>How to operate the platform, page by page</w:t>
            </w:r>
          </w:p>
        </w:tc>
      </w:tr>
      <w:tr w:rsidR="00F03F9B" w14:paraId="59B6145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24A9" w14:textId="77777777" w:rsidR="00F03F9B" w:rsidRDefault="00000000">
            <w:r>
              <w:rPr>
                <w:b/>
                <w:bCs/>
                <w:sz w:val="18"/>
                <w:szCs w:val="18"/>
              </w:rPr>
              <w:t>Policy Brief Template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A3CAA" w14:textId="77777777" w:rsidR="00F03F9B" w:rsidRDefault="00000000">
            <w:r>
              <w:rPr>
                <w:sz w:val="18"/>
                <w:szCs w:val="18"/>
              </w:rPr>
              <w:t>Reusable structure for translating platform findings into a policy-maker-facing brief</w:t>
            </w:r>
          </w:p>
        </w:tc>
      </w:tr>
      <w:tr w:rsidR="00F03F9B" w14:paraId="27CF632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7D5A7" w14:textId="77777777" w:rsidR="00F03F9B" w:rsidRDefault="00000000">
            <w:r>
              <w:rPr>
                <w:b/>
                <w:bCs/>
                <w:sz w:val="18"/>
                <w:szCs w:val="18"/>
              </w:rPr>
              <w:t>Source code (</w:t>
            </w:r>
            <w:proofErr w:type="spellStart"/>
            <w:r>
              <w:rPr>
                <w:b/>
                <w:bCs/>
                <w:sz w:val="18"/>
                <w:szCs w:val="18"/>
              </w:rPr>
              <w:t>src</w:t>
            </w:r>
            <w:proofErr w:type="spellEnd"/>
            <w:r>
              <w:rPr>
                <w:b/>
                <w:bCs/>
                <w:sz w:val="18"/>
                <w:szCs w:val="18"/>
              </w:rPr>
              <w:t>/, app/, tests/)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C4568" w14:textId="77777777" w:rsidR="00F03F9B" w:rsidRDefault="00000000">
            <w:r>
              <w:rPr>
                <w:sz w:val="18"/>
                <w:szCs w:val="18"/>
              </w:rPr>
              <w:t>The working, tested implementation of everything described above</w:t>
            </w:r>
          </w:p>
        </w:tc>
      </w:tr>
    </w:tbl>
    <w:p w14:paraId="5A1C7842" w14:textId="77777777" w:rsidR="00F03F9B" w:rsidRDefault="00000000">
      <w:pPr>
        <w:pStyle w:val="Heading1"/>
      </w:pPr>
      <w:r>
        <w:t>7. Success metrics</w:t>
      </w:r>
    </w:p>
    <w:p w14:paraId="113E5DB0" w14:textId="77777777" w:rsidR="00F03F9B" w:rsidRDefault="00000000">
      <w:pPr>
        <w:pStyle w:val="ListParagraph"/>
        <w:numPr>
          <w:ilvl w:val="0"/>
          <w:numId w:val="2"/>
        </w:numPr>
        <w:spacing w:after="80"/>
      </w:pPr>
      <w:r>
        <w:lastRenderedPageBreak/>
        <w:t>Taxonomy coverage: number of occupations and unique skills represented (currently sourced from ~1,000 O*NET occupations).</w:t>
      </w:r>
    </w:p>
    <w:p w14:paraId="209CD705" w14:textId="77777777" w:rsidR="00F03F9B" w:rsidRDefault="00000000">
      <w:pPr>
        <w:pStyle w:val="ListParagraph"/>
        <w:numPr>
          <w:ilvl w:val="0"/>
          <w:numId w:val="2"/>
        </w:numPr>
        <w:spacing w:after="80"/>
      </w:pPr>
      <w:r>
        <w:t>Extraction accuracy: proportion of manually-verified resume skills correctly identified, tracked as the embedding-fallback similarity threshold is tuned against real-world resumes.</w:t>
      </w:r>
    </w:p>
    <w:p w14:paraId="3BF1A97E" w14:textId="77777777" w:rsidR="00F03F9B" w:rsidRDefault="00000000">
      <w:pPr>
        <w:pStyle w:val="ListParagraph"/>
        <w:numPr>
          <w:ilvl w:val="0"/>
          <w:numId w:val="2"/>
        </w:numPr>
        <w:spacing w:after="80"/>
      </w:pPr>
      <w:r>
        <w:t>Test coverage: recommendation and LRS logic currently at 17 passing automated tests; target is to maintain 100% pass rate through every subsequent phase.</w:t>
      </w:r>
    </w:p>
    <w:p w14:paraId="410015F9" w14:textId="77777777" w:rsidR="00F03F9B" w:rsidRDefault="00000000">
      <w:pPr>
        <w:pStyle w:val="ListParagraph"/>
        <w:numPr>
          <w:ilvl w:val="0"/>
          <w:numId w:val="2"/>
        </w:numPr>
        <w:spacing w:after="80"/>
      </w:pPr>
      <w:r>
        <w:t xml:space="preserve">Time-to-demo per phase: each roadmap phase (A through E) is scoped to ship a working, </w:t>
      </w:r>
      <w:proofErr w:type="spellStart"/>
      <w:r>
        <w:t>demoable</w:t>
      </w:r>
      <w:proofErr w:type="spellEnd"/>
      <w:r>
        <w:t xml:space="preserve"> increment, not a partial or broken state.</w:t>
      </w:r>
    </w:p>
    <w:sectPr w:rsidR="00F03F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9659F"/>
    <w:multiLevelType w:val="hybridMultilevel"/>
    <w:tmpl w:val="B7CC84B6"/>
    <w:lvl w:ilvl="0" w:tplc="D07237D6">
      <w:start w:val="1"/>
      <w:numFmt w:val="bullet"/>
      <w:lvlText w:val="•"/>
      <w:lvlJc w:val="left"/>
      <w:pPr>
        <w:ind w:left="720" w:hanging="360"/>
      </w:pPr>
    </w:lvl>
    <w:lvl w:ilvl="1" w:tplc="6F161100">
      <w:numFmt w:val="decimal"/>
      <w:lvlText w:val=""/>
      <w:lvlJc w:val="left"/>
    </w:lvl>
    <w:lvl w:ilvl="2" w:tplc="A2AC3688">
      <w:numFmt w:val="decimal"/>
      <w:lvlText w:val=""/>
      <w:lvlJc w:val="left"/>
    </w:lvl>
    <w:lvl w:ilvl="3" w:tplc="67CC95A2">
      <w:numFmt w:val="decimal"/>
      <w:lvlText w:val=""/>
      <w:lvlJc w:val="left"/>
    </w:lvl>
    <w:lvl w:ilvl="4" w:tplc="143EE074">
      <w:numFmt w:val="decimal"/>
      <w:lvlText w:val=""/>
      <w:lvlJc w:val="left"/>
    </w:lvl>
    <w:lvl w:ilvl="5" w:tplc="839C65F4">
      <w:numFmt w:val="decimal"/>
      <w:lvlText w:val=""/>
      <w:lvlJc w:val="left"/>
    </w:lvl>
    <w:lvl w:ilvl="6" w:tplc="D34ED412">
      <w:numFmt w:val="decimal"/>
      <w:lvlText w:val=""/>
      <w:lvlJc w:val="left"/>
    </w:lvl>
    <w:lvl w:ilvl="7" w:tplc="381C0880">
      <w:numFmt w:val="decimal"/>
      <w:lvlText w:val=""/>
      <w:lvlJc w:val="left"/>
    </w:lvl>
    <w:lvl w:ilvl="8" w:tplc="5FA6DB32">
      <w:numFmt w:val="decimal"/>
      <w:lvlText w:val=""/>
      <w:lvlJc w:val="left"/>
    </w:lvl>
  </w:abstractNum>
  <w:abstractNum w:abstractNumId="1" w15:restartNumberingAfterBreak="0">
    <w:nsid w:val="5FF44D51"/>
    <w:multiLevelType w:val="hybridMultilevel"/>
    <w:tmpl w:val="5474588A"/>
    <w:lvl w:ilvl="0" w:tplc="10F6225E">
      <w:start w:val="1"/>
      <w:numFmt w:val="bullet"/>
      <w:lvlText w:val="●"/>
      <w:lvlJc w:val="left"/>
      <w:pPr>
        <w:ind w:left="720" w:hanging="360"/>
      </w:pPr>
    </w:lvl>
    <w:lvl w:ilvl="1" w:tplc="B6021F06">
      <w:start w:val="1"/>
      <w:numFmt w:val="bullet"/>
      <w:lvlText w:val="○"/>
      <w:lvlJc w:val="left"/>
      <w:pPr>
        <w:ind w:left="1440" w:hanging="360"/>
      </w:pPr>
    </w:lvl>
    <w:lvl w:ilvl="2" w:tplc="A78064D2">
      <w:start w:val="1"/>
      <w:numFmt w:val="bullet"/>
      <w:lvlText w:val="■"/>
      <w:lvlJc w:val="left"/>
      <w:pPr>
        <w:ind w:left="2160" w:hanging="360"/>
      </w:pPr>
    </w:lvl>
    <w:lvl w:ilvl="3" w:tplc="43383462">
      <w:start w:val="1"/>
      <w:numFmt w:val="bullet"/>
      <w:lvlText w:val="●"/>
      <w:lvlJc w:val="left"/>
      <w:pPr>
        <w:ind w:left="2880" w:hanging="360"/>
      </w:pPr>
    </w:lvl>
    <w:lvl w:ilvl="4" w:tplc="06EA9DFE">
      <w:start w:val="1"/>
      <w:numFmt w:val="bullet"/>
      <w:lvlText w:val="○"/>
      <w:lvlJc w:val="left"/>
      <w:pPr>
        <w:ind w:left="3600" w:hanging="360"/>
      </w:pPr>
    </w:lvl>
    <w:lvl w:ilvl="5" w:tplc="B0C89E56">
      <w:start w:val="1"/>
      <w:numFmt w:val="bullet"/>
      <w:lvlText w:val="■"/>
      <w:lvlJc w:val="left"/>
      <w:pPr>
        <w:ind w:left="4320" w:hanging="360"/>
      </w:pPr>
    </w:lvl>
    <w:lvl w:ilvl="6" w:tplc="F4F63154">
      <w:start w:val="1"/>
      <w:numFmt w:val="bullet"/>
      <w:lvlText w:val="●"/>
      <w:lvlJc w:val="left"/>
      <w:pPr>
        <w:ind w:left="5040" w:hanging="360"/>
      </w:pPr>
    </w:lvl>
    <w:lvl w:ilvl="7" w:tplc="ADB8EBA4">
      <w:start w:val="1"/>
      <w:numFmt w:val="bullet"/>
      <w:lvlText w:val="●"/>
      <w:lvlJc w:val="left"/>
      <w:pPr>
        <w:ind w:left="5760" w:hanging="360"/>
      </w:pPr>
    </w:lvl>
    <w:lvl w:ilvl="8" w:tplc="7304F694">
      <w:start w:val="1"/>
      <w:numFmt w:val="bullet"/>
      <w:lvlText w:val="●"/>
      <w:lvlJc w:val="left"/>
      <w:pPr>
        <w:ind w:left="6480" w:hanging="360"/>
      </w:pPr>
    </w:lvl>
  </w:abstractNum>
  <w:num w:numId="1" w16cid:durableId="1683045604">
    <w:abstractNumId w:val="1"/>
    <w:lvlOverride w:ilvl="0">
      <w:startOverride w:val="1"/>
    </w:lvlOverride>
  </w:num>
  <w:num w:numId="2" w16cid:durableId="70664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F9B"/>
    <w:rsid w:val="00E83994"/>
    <w:rsid w:val="00EB0EED"/>
    <w:rsid w:val="00F03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A37A"/>
  <w15:docId w15:val="{54B5867C-DE80-480F-97F1-8D1895B6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6E56"/>
      <w:sz w:val="32"/>
      <w:szCs w:val="32"/>
    </w:rPr>
  </w:style>
  <w:style w:type="paragraph" w:styleId="Heading2">
    <w:name w:val="heading 2"/>
    <w:uiPriority w:val="9"/>
    <w:semiHidden/>
    <w:unhideWhenUsed/>
    <w:qFormat/>
    <w:pPr>
      <w:spacing w:before="280" w:after="160"/>
      <w:outlineLvl w:val="1"/>
    </w:pPr>
    <w:rPr>
      <w:b/>
      <w:bCs/>
      <w:color w:val="08504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1254</Words>
  <Characters>7150</Characters>
  <Application>Microsoft Office Word</Application>
  <DocSecurity>0</DocSecurity>
  <Lines>59</Lines>
  <Paragraphs>16</Paragraphs>
  <ScaleCrop>false</ScaleCrop>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mwangi</cp:lastModifiedBy>
  <cp:revision>2</cp:revision>
  <dcterms:created xsi:type="dcterms:W3CDTF">2026-07-12T17:39:00Z</dcterms:created>
  <dcterms:modified xsi:type="dcterms:W3CDTF">2026-07-14T09:38:00Z</dcterms:modified>
</cp:coreProperties>
</file>