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10972800" cy="6877050"/>
            <wp:effectExtent l="0" t="0" r="0" b="0"/>
            <wp:docPr id="1" name="Image1" descr="MentorM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entorMAM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Governance · Supersession Notice</w:t>
      </w:r>
    </w:p>
    <w:p>
      <w:pPr>
        <w:pStyle w:val="Heading1"/>
        <w:bidi w:val="0"/>
        <w:jc w:val="left"/>
        <w:rPr/>
      </w:pPr>
      <w:r>
        <w:rPr/>
        <w:t>Document Reconciliation Record</w:t>
      </w:r>
    </w:p>
    <w:p>
      <w:pPr>
        <w:pStyle w:val="BodyText"/>
        <w:bidi w:val="0"/>
        <w:spacing w:before="0" w:after="0"/>
        <w:jc w:val="left"/>
        <w:rPr/>
      </w:pPr>
      <w:r>
        <w:rPr/>
        <w:t>Every contradiction, and its resolution</w:t>
      </w:r>
    </w:p>
    <w:p>
      <w:pPr>
        <w:pStyle w:val="BodyText"/>
        <w:bidi w:val="0"/>
        <w:spacing w:before="0" w:after="0"/>
        <w:jc w:val="left"/>
        <w:rPr/>
      </w:pPr>
      <w:r>
        <w:rPr/>
        <w:t>Which document wins when two disagree, every material contradiction between the founding documents and the confirmed design, and the consolidated decision register — updated through Stage 7.</w:t>
      </w:r>
    </w:p>
    <w:tbl>
      <w:tblPr>
        <w:tblW w:w="90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  <w:gridCol w:w="7501"/>
      </w:tblGrid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MentorMAMA — Digital Mentorship Toolkit for Safer Midwifery Clinical Placement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Sinaps Technology — Bouric Okwaro Enos (Ric), Co-Founder &amp; Team Lead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type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Reconciliation Record &amp; Supersession Notice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Covers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Developer Concept Note v1.0 · Stage 1 Business Discovery v1.0 · SADD v1.0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Against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2 Domain Model · Stage 3 Business Rules v1.1 · Stage 3.5 Use Cases v1.0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1.4 (register updated through Stage 7; walking skeleton built)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7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July 2026</w:t>
            </w:r>
          </w:p>
        </w:tc>
      </w:tr>
    </w:tbl>
    <w:p>
      <w:pPr>
        <w:pStyle w:val="BodyText"/>
        <w:bidi w:val="0"/>
        <w:jc w:val="left"/>
        <w:rPr/>
      </w:pPr>
      <w:r>
        <w:rPr/>
        <w:t>Sinaps Technology  |  Driving Innovation Out of Isolation  ·  Confidential — Sinaps Technology / JHUB Africa</w:t>
      </w:r>
    </w:p>
    <w:p>
      <w:pPr>
        <w:pStyle w:val="Heading2"/>
        <w:bidi w:val="0"/>
        <w:jc w:val="left"/>
        <w:rPr/>
      </w:pPr>
      <w:r>
        <w:rPr/>
        <w:t>1. Why This Document Exists</w:t>
      </w:r>
    </w:p>
    <w:p>
      <w:pPr>
        <w:pStyle w:val="BodyText"/>
        <w:bidi w:val="0"/>
        <w:jc w:val="left"/>
        <w:rPr/>
      </w:pPr>
      <w:r>
        <w:rPr/>
        <w:t xml:space="preserve">Three documents preceded the domain model: the </w:t>
      </w:r>
      <w:r>
        <w:rPr>
          <w:rStyle w:val="Strong"/>
        </w:rPr>
        <w:t>Developer Concept Note</w:t>
      </w:r>
      <w:r>
        <w:rPr/>
        <w:t xml:space="preserve"> (the requirements — the "what"), the </w:t>
      </w:r>
      <w:r>
        <w:rPr>
          <w:rStyle w:val="Strong"/>
        </w:rPr>
        <w:t>Stage 1 Business Discovery Report</w:t>
      </w:r>
      <w:r>
        <w:rPr/>
        <w:t xml:space="preserve"> (the ecosystem and process), and the </w:t>
      </w:r>
      <w:r>
        <w:rPr>
          <w:rStyle w:val="Strong"/>
        </w:rPr>
        <w:t>SADD v1.0</w:t>
      </w:r>
      <w:r>
        <w:rPr/>
        <w:t xml:space="preserve"> (the first technical blueprint). Stages 2, 3, and 3.5 then changed a number of conclusions — deliberately, because that is what the design sequence is for.</w:t>
      </w:r>
    </w:p>
    <w:p>
      <w:pPr>
        <w:pStyle w:val="BodyText"/>
        <w:bidi w:val="0"/>
        <w:jc w:val="left"/>
        <w:rPr/>
      </w:pPr>
      <w:r>
        <w:rPr/>
        <w:t>The failure mode we are avoiding is the common one: four documents in a repository, mutually contradicting, and a developer picking whichever they opened first. So this record does three things: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Establishes an authority order</w:t>
      </w:r>
      <w:r>
        <w:rPr/>
        <w:t xml:space="preserve"> — which document wins when two disagree.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Lists every material contradiction</w:t>
      </w:r>
      <w:r>
        <w:rPr/>
        <w:t xml:space="preserve"> with its resolution, so nothing is silently overridden.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States what happens to each source document</w:t>
      </w:r>
      <w:r>
        <w:rPr/>
        <w:t xml:space="preserve"> — amended, superseded in part, or left as a historical record. </w:t>
      </w:r>
    </w:p>
    <w:p>
      <w:pPr>
        <w:pStyle w:val="Heading3"/>
        <w:bidi w:val="0"/>
        <w:jc w:val="left"/>
        <w:rPr/>
      </w:pPr>
      <w:r>
        <w:rPr/>
        <w:t>1.1 Authority order</w:t>
      </w:r>
    </w:p>
    <w:p>
      <w:pPr>
        <w:pStyle w:val="BodyText"/>
        <w:bidi w:val="0"/>
        <w:jc w:val="left"/>
        <w:rPr/>
      </w:pPr>
      <w:r>
        <w:rPr/>
        <w:t>When two documents disagree, the later stage wins, with one exception: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Stage 3.5 Use Cases  ─┐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Stage 3 Business Rules ├── authoritative for behaviour, rules, and sequence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Stage 2 Domain Model  ─┘</w:t>
      </w:r>
    </w:p>
    <w:p>
      <w:pPr>
        <w:pStyle w:val="PreformattedTextcode"/>
        <w:bidi w:val="0"/>
        <w:jc w:val="left"/>
        <w:rPr/>
      </w:pPr>
      <w:r>
        <w:rPr/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Stage 1 Business Discovery ─── authoritative for the ecosystem, actors, and data ownership</w:t>
      </w:r>
    </w:p>
    <w:p>
      <w:pPr>
        <w:pStyle w:val="PreformattedTextcode"/>
        <w:bidi w:val="0"/>
        <w:jc w:val="left"/>
        <w:rPr/>
      </w:pPr>
      <w:r>
        <w:rPr/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>Developer Concept Note ─────── authoritative for SCOPE and for the research/programme</w:t>
      </w:r>
    </w:p>
    <w:p>
      <w:pPr>
        <w:pStyle w:val="PreformattedTextcode"/>
        <w:bidi w:val="0"/>
        <w:jc w:val="left"/>
        <w:rPr/>
      </w:pPr>
      <w:r>
        <w:rPr>
          <w:rStyle w:val="SourceText"/>
        </w:rPr>
        <w:t xml:space="preserve">                               </w:t>
      </w:r>
      <w:r>
        <w:rPr>
          <w:rStyle w:val="SourceText"/>
        </w:rPr>
        <w:t>requirements it carries from the source proposal</w:t>
      </w:r>
    </w:p>
    <w:p>
      <w:pPr>
        <w:pStyle w:val="PreformattedTextcode"/>
        <w:bidi w:val="0"/>
        <w:jc w:val="left"/>
        <w:rPr/>
      </w:pPr>
      <w:r>
        <w:rPr/>
      </w:r>
    </w:p>
    <w:p>
      <w:pPr>
        <w:pStyle w:val="PreformattedTextcode"/>
        <w:bidi w:val="0"/>
        <w:spacing w:before="0" w:after="283"/>
        <w:jc w:val="left"/>
        <w:rPr/>
      </w:pPr>
      <w:r>
        <w:rPr>
          <w:rStyle w:val="SourceText"/>
        </w:rPr>
        <w:t>SADD v1.0 ─────────────────── superseded; see §4</w:t>
      </w:r>
    </w:p>
    <w:p>
      <w:pPr>
        <w:pStyle w:val="BodyText"/>
        <w:bidi w:val="0"/>
        <w:jc w:val="left"/>
        <w:rPr/>
      </w:pPr>
      <w:r>
        <w:rPr>
          <w:rStyle w:val="Strong"/>
        </w:rPr>
        <w:t>The exception:</w:t>
      </w:r>
      <w:r>
        <w:rPr/>
        <w:t xml:space="preserve"> the Concept Note remains authoritative on </w:t>
      </w:r>
      <w:r>
        <w:rPr>
          <w:rStyle w:val="Strong"/>
        </w:rPr>
        <w:t>scope and programme intent</w:t>
      </w:r>
      <w:r>
        <w:rPr/>
        <w:t xml:space="preserve"> — what is in and out of the MVP, the no-patient-data rule, pilot size, the phased AI boundary. Later stages may refine </w:t>
      </w:r>
      <w:r>
        <w:rPr>
          <w:rStyle w:val="Emphasis"/>
        </w:rPr>
        <w:t>how</w:t>
      </w:r>
      <w:r>
        <w:rPr/>
        <w:t xml:space="preserve"> those are achieved, but may not quietly expand what is being built. Where a later stage narrows or defers something in the Concept Note, it is listed in §3 as a scope change requiring stakeholder acknowledgement, not as an engineering decision.</w:t>
      </w:r>
    </w:p>
    <w:p>
      <w:pPr>
        <w:pStyle w:val="Heading3"/>
        <w:bidi w:val="0"/>
        <w:jc w:val="left"/>
        <w:rPr/>
      </w:pPr>
      <w:r>
        <w:rPr/>
        <w:t>1.2 What is NOT being rewritten, and why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Developer Concept Note is not edited.</w:t>
      </w:r>
      <w:r>
        <w:rPr/>
        <w:t xml:space="preserve"> It is derived from Dr. Carolyne Kerubo Nyariki's research proposal (JKUAT School of Nursing) and prepared for AfyaVentures/JHUB Africa; it is an upstream artifact whose provenance is the point. Silently rewriting a source specification to match our current thinking destroys the audit trail of </w:t>
      </w:r>
      <w:r>
        <w:rPr>
          <w:rStyle w:val="Emphasis"/>
        </w:rPr>
        <w:t>why</w:t>
      </w:r>
      <w:r>
        <w:rPr/>
        <w:t xml:space="preserve"> things changed — which matters more here than usual, because this product may be part of a research evaluation. Contradictions with it are therefore raised as </w:t>
      </w:r>
      <w:r>
        <w:rPr>
          <w:rStyle w:val="Strong"/>
        </w:rPr>
        <w:t>amendments</w:t>
      </w:r>
      <w:r>
        <w:rPr/>
        <w:t xml:space="preserve"> (§3) for stakeholder acknowledgement.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Stage 1 report is corrected by errata</w:t>
      </w:r>
      <w:r>
        <w:rPr/>
        <w:t xml:space="preserve"> (§5) rather than reissued, because its defects are internal numbering inconsistencies rather than wrong conclusions. Its substance held up completely — Placement as aggregate root, the two-jurisdiction model, and the data-ownership table all survived Stages 2 and 3 intact and are now the backbone of the authorization model.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SADD v1.0 is superseded</w:t>
      </w:r>
      <w:r>
        <w:rPr/>
        <w:t xml:space="preserve"> by SADD v2.0 (§4), because it is ours, it is the document developers will actually open, and several of its statements are now wrong in ways that would produce wrong code.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Contradictions With the SADD v1.0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2"/>
        <w:gridCol w:w="3888"/>
        <w:gridCol w:w="5035"/>
        <w:gridCol w:w="3481"/>
        <w:gridCol w:w="4504"/>
      </w:tblGrid>
      <w:tr>
        <w:trPr>
          <w:tblHeader w:val="true"/>
        </w:trPr>
        <w:tc>
          <w:tcPr>
            <w:tcW w:w="372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SADD v1.0 says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Confirmed design says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Resolution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Impact if unresolved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S-01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PlacementAssignment</w:t>
            </w:r>
            <w:r>
              <w:rPr/>
              <w:t xml:space="preserve"> is a </w:t>
            </w:r>
            <w:r>
              <w:rPr>
                <w:rStyle w:val="Strong"/>
              </w:rPr>
              <w:t>junction table</w:t>
            </w:r>
            <w:r>
              <w:rPr/>
              <w:t xml:space="preserve"> linking Student ↔ Mentor ↔ Ward ↔ Cohort (§4.2, §4.3)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Placement</w:t>
            </w:r>
            <w:r>
              <w:rPr/>
              <w:t xml:space="preserve"> is the aggregate root; Student Assignment, Mentor Assignment, and Ward Assignment are </w:t>
            </w:r>
            <w:r>
              <w:rPr>
                <w:rStyle w:val="Emphasis"/>
              </w:rPr>
              <w:t>sub-entities inside it</w:t>
            </w:r>
            <w:r>
              <w:rPr/>
              <w:t>, each with its own open/close history (Stage 2)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the aggregate model. A junction row overwrites relationships on change; sub-entities preserve them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reassignment would destroy the record of who mentored the student in weeks 1–3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S-02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MentorshipSession</w:t>
            </w:r>
            <w:r>
              <w:rPr/>
              <w:t xml:space="preserve"> has </w:t>
            </w:r>
            <w:r>
              <w:rPr>
                <w:rStyle w:val="SourceText"/>
              </w:rPr>
              <w:t>student_id</w:t>
            </w:r>
            <w:r>
              <w:rPr/>
              <w:t xml:space="preserve"> + </w:t>
            </w:r>
            <w:r>
              <w:rPr>
                <w:rStyle w:val="SourceText"/>
              </w:rPr>
              <w:t>mentor_id</w:t>
            </w:r>
            <w:r>
              <w:rPr/>
              <w:t xml:space="preserve"> FKs (§4.2)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Session belongs to </w:t>
            </w:r>
            <w:r>
              <w:rPr>
                <w:rStyle w:val="Strong"/>
              </w:rPr>
              <w:t>exactly one Placement</w:t>
            </w:r>
            <w:r>
              <w:rPr/>
              <w:t xml:space="preserve"> (INV-03)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Sessions reference the placement; mentor is recorded as the acting assignment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student's sessions across two different placements would be indistinguishable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S-03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InductionChecklist</w:t>
            </w:r>
            <w:r>
              <w:rPr/>
              <w:t xml:space="preserve"> hangs off StudentProfile and MentorProfile (§4.2)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Induction belongs to the Placement and survives mentor reassignment (Stage 3.5 §5.3)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Reparent to Placement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reassignment would orphan or duplicate the induction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S-04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StudentFeedback</w:t>
            </w:r>
            <w:r>
              <w:rPr/>
              <w:t xml:space="preserve"> references </w:t>
            </w:r>
            <w:r>
              <w:rPr>
                <w:rStyle w:val="SourceText"/>
              </w:rPr>
              <w:t>student_id</w:t>
            </w:r>
            <w:r>
              <w:rPr/>
              <w:t xml:space="preserve"> (§4.2)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Anonymous feedback attaches to Cohort + Facility + Ward and </w:t>
            </w:r>
            <w:r>
              <w:rPr>
                <w:rStyle w:val="Strong"/>
              </w:rPr>
              <w:t>never</w:t>
            </w:r>
            <w:r>
              <w:rPr/>
              <w:t xml:space="preserve"> to Student or Placement (POL-014)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Two routing paths by anonymity mode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"Anonymous" feedback that is trivially re-identifiable — a governance failure, not a bug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S-05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StudentProfile</w:t>
            </w:r>
            <w:r>
              <w:rPr/>
              <w:t xml:space="preserve"> carries </w:t>
            </w:r>
            <w:r>
              <w:rPr>
                <w:rStyle w:val="SourceText"/>
              </w:rPr>
              <w:t>placement_facility</w:t>
            </w:r>
            <w:r>
              <w:rPr/>
              <w:t xml:space="preserve">, </w:t>
            </w:r>
            <w:r>
              <w:rPr>
                <w:rStyle w:val="SourceText"/>
              </w:rPr>
              <w:t>placement_start/end</w:t>
            </w:r>
            <w:r>
              <w:rPr/>
              <w:t xml:space="preserve">, </w:t>
            </w:r>
            <w:r>
              <w:rPr>
                <w:rStyle w:val="SourceText"/>
              </w:rPr>
              <w:t>assigned_mentor</w:t>
            </w:r>
            <w:r>
              <w:rPr/>
              <w:t xml:space="preserve"> (§5.3)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Those are Placement attributes; a student has many placements over time (Stage 2)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Remove from the profile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second placement would overwrite the first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S-06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Seven actors, including </w:t>
            </w:r>
            <w:r>
              <w:rPr>
                <w:rStyle w:val="Strong"/>
              </w:rPr>
              <w:t>CPD/Content Reviewer</w:t>
            </w:r>
            <w:r>
              <w:rPr/>
              <w:t xml:space="preserve"> as an MVP role with permissions (§2.1, §6.4)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CPD Reviewer is deferred to Phase 2 and is out of the MVP authorization model (Stage 1 §5.2)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Six actors in the MVP; CPD Reviewer stays in the vocabulary only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Building and testing an unused role hierarchy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S-07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Escalation status list is informal: "resolved" or "escalated further" (§3.3)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Five states with a formal transition table; external referral is a </w:t>
            </w:r>
            <w:r>
              <w:rPr>
                <w:rStyle w:val="Strong"/>
              </w:rPr>
              <w:t>resolution outcome</w:t>
            </w:r>
            <w:r>
              <w:rPr/>
              <w:t>, not a state (WFR-006)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the Stage 3 escalation state machine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safeguarding workflow would be the only lifecycle in the system without enforceable transitions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S-08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Placement lifecycle at all — no states, no transitions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Ten states, seventeen transitions, guards and initiating actors (Stage 3 §5.2)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the transition table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workflow rule becomes unenforceable; "active" becomes a boolean someone flips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S-09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"Induction occurs before active mentorship" is implied narratively (§8.1)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INV-02: a placement </w:t>
            </w:r>
            <w:r>
              <w:rPr>
                <w:rStyle w:val="Strong"/>
              </w:rPr>
              <w:t>cannot</w:t>
            </w:r>
            <w:r>
              <w:rPr/>
              <w:t xml:space="preserve"> become </w:t>
            </w:r>
            <w:r>
              <w:rPr>
                <w:rStyle w:val="SourceText"/>
              </w:rPr>
              <w:t>Active</w:t>
            </w:r>
            <w:r>
              <w:rPr/>
              <w:t xml:space="preserve"> until induction is complete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Enforce at </w:t>
            </w:r>
            <w:r>
              <w:rPr>
                <w:rStyle w:val="SourceText"/>
              </w:rPr>
              <w:t>TXN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core product promise — no unoriented student on a labour ward — would rely on UI ordering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S-10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Nurse Manager read scope is "facility-wide"; Stage 1 describes ward-level management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Facility-scoped authorization with ward as a </w:t>
            </w:r>
            <w:r>
              <w:rPr>
                <w:rStyle w:val="Strong"/>
              </w:rPr>
              <w:t>filter</w:t>
            </w:r>
            <w:r>
              <w:rPr/>
              <w:t>, revisited if a facility runs multiple mentoring units (AUTH-006, OD-04)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Documented explicitly rather than left as two readings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Two developers implementing two different boundaries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S-11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Coordinator has institution-wide read of cohorts and students (§6.4), with no field-level limits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Coordinator reads session </w:t>
            </w:r>
            <w:r>
              <w:rPr>
                <w:rStyle w:val="Strong"/>
              </w:rPr>
              <w:t>metadata only</w:t>
            </w:r>
            <w:r>
              <w:rPr/>
              <w:t>, never free text, and never mentor master records (POL-016, POL-017)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Field-level restrictions in serialisation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Breach of the hospital-owns-its-staff-records boundary from Stage 1 §8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S-12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 "receives CPD completion summaries"; feedback visibility unresolved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Mentors never read individual feedback about themselves; aggregates only at n ≥ 3 (POL-013)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the min-n threshold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single student's feedback identifiable to the mentor it concerns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S-13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DashboardMetric</w:t>
            </w:r>
            <w:r>
              <w:rPr/>
              <w:t xml:space="preserve"> is a stored entity with </w:t>
            </w:r>
            <w:r>
              <w:rPr>
                <w:rStyle w:val="SourceText"/>
              </w:rPr>
              <w:t>numerator</w:t>
            </w:r>
            <w:r>
              <w:rPr/>
              <w:t>/</w:t>
            </w:r>
            <w:r>
              <w:rPr>
                <w:rStyle w:val="SourceText"/>
              </w:rPr>
              <w:t>denominator</w:t>
            </w:r>
            <w:r>
              <w:rPr/>
              <w:t xml:space="preserve"> (§4.2, §5.3)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Progress and indicators are </w:t>
            </w:r>
            <w:r>
              <w:rPr>
                <w:rStyle w:val="Strong"/>
              </w:rPr>
              <w:t>computed on read</w:t>
            </w:r>
            <w:r>
              <w:rPr/>
              <w:t>, never authored (WFR-021, WFR-022)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Materialised projection, refreshed from events — never a hand-editable row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Metrics that can drift from the facts they summarise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S-14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Domain events publish to notifications, described as part of the write path (§4.4)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Events are written to a transactional outbox in-transaction and dispatched </w:t>
            </w:r>
            <w:r>
              <w:rPr>
                <w:rStyle w:val="Strong"/>
              </w:rPr>
              <w:t>after</w:t>
            </w:r>
            <w:r>
              <w:rPr/>
              <w:t xml:space="preserve"> commit (WFR-026)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the outbox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 email provider timeout rolls back a valid mentor assignment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S-15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REST endpoints specified (§6.3), e.g. </w:t>
            </w:r>
            <w:r>
              <w:rPr>
                <w:rStyle w:val="SourceText"/>
              </w:rPr>
              <w:t>POST /api/placements</w:t>
            </w:r>
            <w:r>
              <w:rPr/>
              <w:t xml:space="preserve"> "create/reassign"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Endpoints are a Stage 6 concern; Stage 3.5 defines </w:t>
            </w:r>
            <w:r>
              <w:rPr>
                <w:rStyle w:val="Strong"/>
              </w:rPr>
              <w:t>commands</w:t>
            </w:r>
            <w:r>
              <w:rPr/>
              <w:t xml:space="preserve"> (</w:t>
            </w:r>
            <w:r>
              <w:rPr>
                <w:rStyle w:val="SourceText"/>
              </w:rPr>
              <w:t>AssignMentor</w:t>
            </w:r>
            <w:r>
              <w:rPr/>
              <w:t xml:space="preserve">, </w:t>
            </w:r>
            <w:r>
              <w:rPr>
                <w:rStyle w:val="SourceText"/>
              </w:rPr>
              <w:t>ReassignMentor</w:t>
            </w:r>
            <w:r>
              <w:rPr/>
              <w:t xml:space="preserve"> as distinct operations)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§6.3 marked provisional pending Stage 6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Conflating create and reassign in one endpoint hides two different guard sets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S-16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ERD, data dictionary, and indexing strategy presented as settled (§5)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5 has not happened. The schema must follow the domain model, not precede it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§5 marked provisional pending Stage 5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original mistake repeated: schema before rules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S-17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Auth returns a JWT with </w:t>
            </w:r>
            <w:r>
              <w:rPr>
                <w:rStyle w:val="SourceText"/>
              </w:rPr>
              <w:t>facility_id</w:t>
            </w:r>
            <w:r>
              <w:rPr/>
              <w:t>/</w:t>
            </w:r>
            <w:r>
              <w:rPr>
                <w:rStyle w:val="SourceText"/>
              </w:rPr>
              <w:t>institution_id</w:t>
            </w:r>
            <w:r>
              <w:rPr/>
              <w:t xml:space="preserve"> claims (§6.4)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is resolved server-side per request from the principal; a token claim is a cached copy that goes stale on reassignment (AUTH-001)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resolved per request; tokens carry identity, not authority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mentor reassigned to another facility keeps their old access until the token expires</w:t>
            </w:r>
          </w:p>
        </w:tc>
      </w:tr>
      <w:tr>
        <w:trPr/>
        <w:tc>
          <w:tcPr>
            <w:tcW w:w="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S-18</w:t>
            </w:r>
          </w:p>
        </w:tc>
        <w:tc>
          <w:tcPr>
            <w:tcW w:w="38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Nothing on ward capacity enforcement, though </w:t>
            </w:r>
            <w:r>
              <w:rPr>
                <w:rStyle w:val="SourceText"/>
              </w:rPr>
              <w:t>Ward.max_students</w:t>
            </w:r>
            <w:r>
              <w:rPr/>
              <w:t xml:space="preserve"> exists</w:t>
            </w:r>
          </w:p>
        </w:tc>
        <w:tc>
          <w:tcPr>
            <w:tcW w:w="50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INV-16 with a row lock on the Ward (POL-007)</w:t>
            </w:r>
          </w:p>
        </w:tc>
        <w:tc>
          <w:tcPr>
            <w:tcW w:w="3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Enforce at </w:t>
            </w:r>
            <w:r>
              <w:rPr>
                <w:rStyle w:val="SourceText"/>
              </w:rPr>
              <w:t>TXN</w:t>
            </w:r>
          </w:p>
        </w:tc>
        <w:tc>
          <w:tcPr>
            <w:tcW w:w="4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Over-allocation of a labour ward — a real-world safety and quality issue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Amendments Requested Against the Concept Note v1.0</w:t>
      </w:r>
    </w:p>
    <w:p>
      <w:pPr>
        <w:pStyle w:val="BodyText"/>
        <w:bidi w:val="0"/>
        <w:jc w:val="left"/>
        <w:rPr/>
      </w:pPr>
      <w:r>
        <w:rPr/>
        <w:t xml:space="preserve">These are </w:t>
      </w:r>
      <w:r>
        <w:rPr>
          <w:rStyle w:val="Strong"/>
        </w:rPr>
        <w:t>not</w:t>
      </w:r>
      <w:r>
        <w:rPr/>
        <w:t xml:space="preserve"> defects in the Concept Note. They are places where the design sequence produced a different answer, and where the change should be acknowledged by AfyaVentures/JKUAT rather than absorbed silently.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7"/>
        <w:gridCol w:w="3226"/>
        <w:gridCol w:w="7284"/>
        <w:gridCol w:w="3532"/>
        <w:gridCol w:w="2841"/>
      </w:tblGrid>
      <w:tr>
        <w:trPr>
          <w:tblHeader w:val="true"/>
        </w:trPr>
        <w:tc>
          <w:tcPr>
            <w:tcW w:w="39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Concept Note position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Confirmed design position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Nature of change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Needs sign-off?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C-01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Six user roles including </w:t>
            </w:r>
            <w:r>
              <w:rPr>
                <w:rStyle w:val="Strong"/>
              </w:rPr>
              <w:t>CPD/Content Reviewer</w:t>
            </w:r>
            <w:r>
              <w:rPr/>
              <w:t xml:space="preserve"> (§4)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CPD Reviewer deferred to Phase 2 (Stage 1 §5.2), consistent with the Note's own deferral of regulator integration (§19)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reduction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confirm CPD is Phase 2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C-02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Student profile holds </w:t>
            </w:r>
            <w:r>
              <w:rPr>
                <w:rStyle w:val="SourceText"/>
              </w:rPr>
              <w:t>assigned_mentor</w:t>
            </w:r>
            <w:r>
              <w:rPr/>
              <w:t xml:space="preserve"> and placement dates (§8)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Those belong to Placement; students hold many placements over time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Structural, no scope change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C-03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"Student feedback visibility" listed as an open decision (§19)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Resolved as a </w:t>
            </w:r>
            <w:r>
              <w:rPr>
                <w:rStyle w:val="Strong"/>
              </w:rPr>
              <w:t>blocking</w:t>
            </w:r>
            <w:r>
              <w:rPr/>
              <w:t xml:space="preserve"> dependency: manager/coordinator read individual, mentor sees aggregate at n ≥ 3, anonymous routes to cohort/ward (POL-013, POL-014)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 requiring governance approval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Yes — blocks pilot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C-04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Induction checklist is "completed when a student reports to the unit" (§11)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Additionally a hard gate: no </w:t>
            </w:r>
            <w:r>
              <w:rPr>
                <w:rStyle w:val="SourceText"/>
              </w:rPr>
              <w:t>Active</w:t>
            </w:r>
            <w:r>
              <w:rPr/>
              <w:t xml:space="preserve"> placement, and therefore no session logging, until induction completes (INV-02, INV-05)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Strengthening of intent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confirm this is desired, since it can block a ward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C-05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Escalation "restrict access to authorized reviewers" (§8)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Field-level: only the assigned reviewer, submitter, and Program Admin may read </w:t>
            </w:r>
            <w:r>
              <w:rPr>
                <w:rStyle w:val="SourceText"/>
              </w:rPr>
              <w:t>description</w:t>
            </w:r>
            <w:r>
              <w:rPr/>
              <w:t>/</w:t>
            </w:r>
            <w:r>
              <w:rPr>
                <w:rStyle w:val="SourceText"/>
              </w:rPr>
              <w:t>action_taken</w:t>
            </w:r>
            <w:r>
              <w:rPr/>
              <w:t>; reviewer may not be the subject; reads are audited (INV-13, WFR-008, WFR-032)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Strengthening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informs consent wording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C-06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support = "local draft saving and retry sync" (§12)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Retry implies idempotency keys, and late replays that no longer validate must be surfaced to the mentor rather than discarded (OD-09)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Newly surfaced UI requirement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adds a mentor-facing "unsynced" view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C-07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indicators listed as stored metrics (§9)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Computed projections, refreshed from events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Implementation, no scope change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C-08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Ward has </w:t>
            </w:r>
            <w:r>
              <w:rPr>
                <w:rStyle w:val="SourceText"/>
              </w:rPr>
              <w:t>maximum students</w:t>
            </w:r>
            <w:r>
              <w:rPr/>
              <w:t xml:space="preserve"> (§8)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Enforced as a hard invariant that blocks allocation (INV-16)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Strengthening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confirm hard block vs. warning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C-09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"Escalation flag for serious placement concerns" in MVP scope (§5.1)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five-state reviewed lifecycle with conflict-of-interest rules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Scope </w:t>
            </w:r>
            <w:r>
              <w:rPr>
                <w:rStyle w:val="Emphasis"/>
              </w:rPr>
              <w:t>increase</w:t>
            </w:r>
            <w:r>
              <w:rPr/>
              <w:t xml:space="preserve"> in depth (not breadth) — justified by safeguarding criticality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acknowledge effort</w:t>
            </w:r>
          </w:p>
        </w:tc>
      </w:tr>
      <w:tr>
        <w:trPr/>
        <w:tc>
          <w:tcPr>
            <w:tcW w:w="3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C-10</w:t>
            </w:r>
          </w:p>
        </w:tc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Pilot capacity negotiation between coordinator and hospital</w:t>
            </w:r>
          </w:p>
        </w:tc>
        <w:tc>
          <w:tcPr>
            <w:tcW w:w="72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Deliberately </w:t>
            </w:r>
            <w:r>
              <w:rPr>
                <w:rStyle w:val="Strong"/>
              </w:rPr>
              <w:t>not</w:t>
            </w:r>
            <w:r>
              <w:rPr/>
              <w:t xml:space="preserve"> an in-app workflow for MVP; </w:t>
            </w:r>
            <w:r>
              <w:rPr>
                <w:rStyle w:val="SourceText"/>
              </w:rPr>
              <w:t>Cohort.planned_capacity</w:t>
            </w:r>
            <w:r>
              <w:rPr/>
              <w:t xml:space="preserve"> only (Stage 1 §9)</w:t>
            </w:r>
          </w:p>
        </w:tc>
        <w:tc>
          <w:tcPr>
            <w:tcW w:w="3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 reduction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— already recommended in Stage 1, confirm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Disposition of the SADD v1.0</w:t>
      </w:r>
    </w:p>
    <w:p>
      <w:pPr>
        <w:pStyle w:val="BodyText"/>
        <w:bidi w:val="0"/>
        <w:jc w:val="left"/>
        <w:rPr/>
      </w:pPr>
      <w:r>
        <w:rPr>
          <w:rStyle w:val="Strong"/>
        </w:rPr>
        <w:t>Status: superseded by SADD v2.0.</w:t>
      </w:r>
    </w:p>
    <w:tbl>
      <w:tblPr>
        <w:tblW w:w="128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6"/>
        <w:gridCol w:w="8116"/>
      </w:tblGrid>
      <w:tr>
        <w:trPr>
          <w:tblHeader w:val="true"/>
        </w:trPr>
        <w:tc>
          <w:tcPr>
            <w:tcW w:w="469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SADD v1.0 section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Disposition in v2.0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 Introduction, scope, constraints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forward, updated to reference the design sequence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§2 Actors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Corrected</w:t>
            </w:r>
            <w:r>
              <w:rPr/>
              <w:t xml:space="preserve"> — six MVP actors; CPD Reviewer moved to Phase 2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§3 Use cases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Superseded</w:t>
            </w:r>
            <w:r>
              <w:rPr/>
              <w:t xml:space="preserve"> by Stage 3.5, which specifies all eight workflows with guards and sequence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§4 Domain model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Corrected</w:t>
            </w:r>
            <w:r>
              <w:rPr/>
              <w:t xml:space="preserve"> — Placement aggregate with assignment sub-entities; ownership reparented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§5 Data design (ERD, dictionary, indexing)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Superseded</w:t>
            </w:r>
            <w:r>
              <w:rPr/>
              <w:t xml:space="preserve"> by Stage 5 (Database Architecture v1.0), which replaces it in full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§6.1–6.2 Architecture, cross-cutting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forward, with the outbox and per-request scope resolution corrected in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§6.3 REST API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Superseded</w:t>
            </w:r>
            <w:r>
              <w:rPr/>
              <w:t xml:space="preserve"> by Stage 6 (API Design v1.0), which replaces it in full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§8.1–8.2 Information architecture and UI principles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Superseded</w:t>
            </w:r>
            <w:r>
              <w:rPr/>
              <w:t xml:space="preserve"> by Stage 7 (UI/UX v1.0)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§6.4 Auth &amp; RBAC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Corrected</w:t>
            </w:r>
            <w:r>
              <w:rPr/>
              <w:t xml:space="preserve"> — server-side scope resolution, field-level restrictions, 404-not-403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§6.5 Non-functional requirements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forward unchanged — held up well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§7 Information architecture &amp; UI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forward, plus the mentor "unsynced logs" view (OD-09)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§8 Workflows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Superseded</w:t>
            </w:r>
            <w:r>
              <w:rPr/>
              <w:t xml:space="preserve"> by Stage 3.5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§9 MVP backlog &amp; acceptance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Carried forward, with acceptance criteria strengthened to include invariant enforcement</w:t>
            </w:r>
          </w:p>
        </w:tc>
      </w:tr>
      <w:tr>
        <w:trPr/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§10 Risks &amp; open decisions</w:t>
            </w:r>
          </w:p>
        </w:tc>
        <w:tc>
          <w:tcPr>
            <w:tcW w:w="81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Replaced</w:t>
            </w:r>
            <w:r>
              <w:rPr/>
              <w:t xml:space="preserve"> by the consolidated Open Decisions Register (Stage 3 §13 + Stage 3.5 §12)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Two sections are deliberately left as </w:t>
      </w:r>
      <w:r>
        <w:rPr>
          <w:rStyle w:val="Strong"/>
        </w:rPr>
        <w:t>provisional rather than fixed</w:t>
      </w:r>
      <w:r>
        <w:rPr/>
        <w:t>: the data design and the API design. Rewriting them now would mean doing Stage 5 and Stage 6 out of sequence, on the same instinct that produced the original problem. They are labelled so no one builds against them by accident.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Stage 1 Errata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9"/>
        <w:gridCol w:w="1618"/>
        <w:gridCol w:w="5584"/>
        <w:gridCol w:w="9659"/>
      </w:tblGrid>
      <w:tr>
        <w:trPr>
          <w:tblHeader w:val="true"/>
        </w:trPr>
        <w:tc>
          <w:tcPr>
            <w:tcW w:w="419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Location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Issue</w:t>
            </w:r>
          </w:p>
        </w:tc>
        <w:tc>
          <w:tcPr>
            <w:tcW w:w="9659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Correction</w:t>
            </w:r>
          </w:p>
        </w:tc>
      </w:tr>
      <w:tr>
        <w:trPr/>
        <w:tc>
          <w:tcPr>
            <w:tcW w:w="4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E-01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§1, closing note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States the document "delivers Stages 1–2 in full" and that the Domain Model "follows in Stage 3"</w:t>
            </w:r>
          </w:p>
        </w:tc>
        <w:tc>
          <w:tcPr>
            <w:tcW w:w="9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It delivers </w:t>
            </w:r>
            <w:r>
              <w:rPr>
                <w:rStyle w:val="Strong"/>
              </w:rPr>
              <w:t>Stage 1</w:t>
            </w:r>
            <w:r>
              <w:rPr/>
              <w:t xml:space="preserve">. The Domain Model is </w:t>
            </w:r>
            <w:r>
              <w:rPr>
                <w:rStyle w:val="Strong"/>
              </w:rPr>
              <w:t>Stage 2</w:t>
            </w:r>
            <w:r>
              <w:rPr/>
              <w:t>. §10.2 of the same document states this correctly, so §1 is the error</w:t>
            </w:r>
          </w:p>
        </w:tc>
      </w:tr>
      <w:tr>
        <w:trPr/>
        <w:tc>
          <w:tcPr>
            <w:tcW w:w="4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E-02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§1, twelve-step diagram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Two numbering systems coexist: the twelve design </w:t>
            </w:r>
            <w:r>
              <w:rPr>
                <w:rStyle w:val="Emphasis"/>
              </w:rPr>
              <w:t>steps</w:t>
            </w:r>
            <w:r>
              <w:rPr/>
              <w:t xml:space="preserve"> and the </w:t>
            </w:r>
            <w:r>
              <w:rPr>
                <w:rStyle w:val="Emphasis"/>
              </w:rPr>
              <w:t>stage</w:t>
            </w:r>
            <w:r>
              <w:rPr/>
              <w:t xml:space="preserve"> numbers used in document titles</w:t>
            </w:r>
          </w:p>
        </w:tc>
        <w:tc>
          <w:tcPr>
            <w:tcW w:w="9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 map published in §6 below. Stage numbers are authoritative for document naming</w:t>
            </w:r>
          </w:p>
        </w:tc>
      </w:tr>
      <w:tr>
        <w:trPr/>
        <w:tc>
          <w:tcPr>
            <w:tcW w:w="4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E-03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§5, actor table</w:t>
            </w:r>
          </w:p>
        </w:tc>
        <w:tc>
          <w:tcPr>
            <w:tcW w:w="55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Lists Notification Service as an actor alongside five human roles; the SADD lists seven actors</w:t>
            </w:r>
          </w:p>
        </w:tc>
        <w:tc>
          <w:tcPr>
            <w:tcW w:w="96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Six MVP actors: five human (Student, Clinical Mentor, Nurse Manager, University Coordinator, Program Administrator) plus the Notification Service system actor. CPD Reviewer is Phase 2</w:t>
            </w:r>
          </w:p>
        </w:tc>
      </w:tr>
    </w:tbl>
    <w:p>
      <w:pPr>
        <w:pStyle w:val="BodyText"/>
        <w:bidi w:val="0"/>
        <w:jc w:val="left"/>
        <w:rPr/>
      </w:pPr>
      <w:r>
        <w:rPr/>
        <w:t>Everything else in Stage 1 stands. Its central conclusions — Placement as aggregate root, non-overlapping institutional jurisdictions, and the data-ownership table — became the foundation of the Stage 3 authorization model without amendment.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Canonical Design Sequence</w:t>
      </w:r>
    </w:p>
    <w:p>
      <w:pPr>
        <w:pStyle w:val="BodyText"/>
        <w:bidi w:val="0"/>
        <w:jc w:val="left"/>
        <w:rPr/>
      </w:pPr>
      <w:r>
        <w:rPr/>
        <w:t>One numbering scheme, to end the ambiguity flagged in E-02.</w:t>
      </w:r>
    </w:p>
    <w:tbl>
      <w:tblPr>
        <w:tblW w:w="118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8011"/>
        <w:gridCol w:w="2851"/>
      </w:tblGrid>
      <w:tr>
        <w:trPr>
          <w:tblHeader w:val="true"/>
        </w:trPr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Stage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Deliverable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1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Business Discovery — ecosystem, actors, process, data ownership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(v1.0 + errata §5)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2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Domain Model — bounded contexts, aggregates, entities, value objects, events, lifecycle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3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Business Rules &amp; Domain Invariants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(v1.1)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3.5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 Cases &amp; Sequence Diagrams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(v1.0)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4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Module Architecture &amp; Module Communication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(v1.0)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5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Architecture — schema, constraints, indexing, migrations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(v1.0)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6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API Design — transport, contracts, versioning, errors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(v1.0)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7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UI/UX — information architecture, screen states, offline affordances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Complete (v1.0)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 8</w:t>
            </w:r>
          </w:p>
        </w:tc>
        <w:tc>
          <w:tcPr>
            <w:tcW w:w="8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Development Sprints &amp; Delivery Plan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⬜ </w:t>
            </w:r>
            <w:r>
              <w:rPr/>
              <w:t>Next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twelve-step list in Stage 1 §1 remains a useful description of the </w:t>
      </w:r>
      <w:r>
        <w:rPr>
          <w:rStyle w:val="Emphasis"/>
        </w:rPr>
        <w:t>discipline</w:t>
      </w:r>
      <w:r>
        <w:rPr/>
        <w:t>; the stage numbers above are what documents are named after.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Consolidated Open Decisions</w:t>
      </w:r>
    </w:p>
    <w:p>
      <w:pPr>
        <w:pStyle w:val="BodyText"/>
        <w:bidi w:val="0"/>
        <w:jc w:val="left"/>
        <w:rPr/>
      </w:pPr>
      <w:r>
        <w:rPr/>
        <w:t>Eleven open decisions now exist across Stage 3 and Stage 3.5. Three block pilot activity and are the subject of the accompanying stakeholder memo.</w:t>
      </w:r>
    </w:p>
    <w:tbl>
      <w:tblPr>
        <w:tblW w:w="172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0"/>
        <w:gridCol w:w="6447"/>
        <w:gridCol w:w="10243"/>
      </w:tblGrid>
      <w:tr>
        <w:trPr>
          <w:tblHeader w:val="true"/>
        </w:trPr>
        <w:tc>
          <w:tcPr>
            <w:tcW w:w="590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Heading"/>
              <w:suppressLineNumbers/>
              <w:shd w:fill="0D1B33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OD-01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a pause extend the placement end date?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Resolved</w:t>
            </w:r>
            <w:r>
              <w:rPr/>
              <w:t xml:space="preserve"> — JKUAT, 30 Jul 2026. Extends </w:t>
            </w:r>
            <w:r>
              <w:rPr>
                <w:rStyle w:val="SourceText"/>
              </w:rPr>
              <w:t>actual_end</w:t>
            </w:r>
            <w:r>
              <w:rPr/>
              <w:t>, planned dates retained (POL-020). Stage 5 unblocked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OD-02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Hard-block placements on incomplete mentor training?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default on, override with reason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OD-03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Feedback visibility model and min-n threshold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Resolved</w:t>
            </w:r>
            <w:r>
              <w:rPr/>
              <w:t xml:space="preserve"> — JKUAT, 30 Jul 2026. Manager and Coordinator read individual; mentor aggregates at n ≥ 3, applied per displayed figure, no attribute breakdowns (POL-013, POL-013a)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OD-04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Nurse Manager boundary: facility or ward?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facility, ward as filter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OD-05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Archive delay after completion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30 days, configurable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OD-06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anonymous feedback attaches to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Resolved</w:t>
            </w:r>
            <w:r>
              <w:rPr/>
              <w:t xml:space="preserve"> — JKUAT, 30 Jul 2026. Both modes supported; confidential is the default, anonymous attaches to cohort/facility/ward only (POL-014, POL-014a)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OD-07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authorises early completion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Nurse Manager with reason, Coordinator notified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OD-08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May a placement complete with a low-severity escalation open?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deferral override only, never for high severity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OD-09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Late-arriving offline logs that no longer validate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retained and surfaced, never discarded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OD-10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Should unconfirmed placements time out?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no, flagged for human follow-up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OD-11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Early completion — Coordinator notified or consulted?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Decided — notified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OD-12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the research evaluation require sex-disaggregated reporting?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  <w:r>
              <w:rPr/>
              <w:t xml:space="preserve"> — asked of JKUAT, 30 Jul 2026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OD-13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 Postgres column-level grants so escalation content is database-restricted, not serializer-restricted?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Recommended yes</w:t>
            </w:r>
            <w:r>
              <w:rPr/>
              <w:t xml:space="preserve"> before pilot go-live (Stage 5 §6.3)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OD-14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Retention period for escalation </w:t>
            </w:r>
            <w:r>
              <w:rPr>
                <w:rStyle w:val="SourceText"/>
              </w:rPr>
              <w:t>description</w:t>
            </w:r>
            <w:r>
              <w:rPr/>
              <w:t xml:space="preserve"> / </w:t>
            </w:r>
            <w:r>
              <w:rPr>
                <w:rStyle w:val="SourceText"/>
              </w:rPr>
              <w:t>action_taken</w:t>
            </w:r>
            <w:r>
              <w:rPr/>
              <w:t>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  <w:r>
              <w:rPr/>
              <w:t xml:space="preserve"> — needs a governance answer rather than defaulting to forever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OD-15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the evaluation need a stable pseudonymous student identifier across cohorts?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  <w:r>
              <w:rPr/>
              <w:t xml:space="preserve"> — if yes, model it explicitly rather than re-purposing UUIDs in exports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OD-16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a token auth path now for a possible future native app?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</w:t>
            </w:r>
            <w:r>
              <w:rPr/>
              <w:t xml:space="preserve"> — the Concept Note defers native until the PWA is tested (Stage 6 §4.1)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OD-17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 large exports by emailed link rather than in-app download?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Revisit after the first cohort export is measured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OD-18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May Coordinators read session free text on a placement with an open escalation?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Recommend </w:t>
            </w:r>
            <w:r>
              <w:rPr>
                <w:rStyle w:val="Strong"/>
              </w:rPr>
              <w:t>no</w:t>
            </w:r>
            <w:r>
              <w:rPr/>
              <w:t xml:space="preserve"> for the pilot — confirm with JKUAT (Stage 6 §10)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OD-19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 queued (unsynced) sessions count toward the mentor's "days since last session"?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locally and labelled; server projections never count them (Stage 7 §6.3)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OD-20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a student see the status of a concern she raised, and at what granularity?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Recommend state only, no reviewer notes — </w:t>
            </w:r>
            <w:r>
              <w:rPr>
                <w:rStyle w:val="Strong"/>
              </w:rPr>
              <w:t>needs JKUAT confirmation</w:t>
            </w:r>
          </w:p>
        </w:tc>
      </w:tr>
      <w:tr>
        <w:trPr/>
        <w:tc>
          <w:tcPr>
            <w:tcW w:w="5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OD-21</w:t>
            </w:r>
          </w:p>
        </w:tc>
        <w:tc>
          <w:tcPr>
            <w:tcW w:w="6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English-only pilot UI with Kiswahili after usability testing?</w:t>
            </w:r>
          </w:p>
        </w:tc>
        <w:tc>
          <w:tcPr>
            <w:tcW w:w="10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 per Concept Note §19; write copy for translation now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Consent and pilot data collection are no longer blocked by us.</w:t>
      </w:r>
      <w:r>
        <w:rPr/>
        <w:t xml:space="preserve"> OD-03 and OD-06 are settled, so the consent wording can be drafted. What remains is the governance sign-off itself, which is JKUAT's and AfyaVentures' step, and it must include the residual free-text patient-identifier risk as accepted rather than solved (Stage 3.5 §11).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rStyle w:val="Emphasis"/>
        </w:rPr>
        <w:t>End of Document Reconciliation Record — Sinaps Technology / JHUB Africa. Confidential.</w:t>
      </w:r>
    </w:p>
    <w:sectPr>
      <w:type w:val="nextPage"/>
      <w:pgSz w:w="11906" w:h="16838"/>
      <w:pgMar w:left="907" w:right="907" w:gutter="0" w:header="0" w:top="1134" w:footer="0" w:bottom="1134"/>
      <w:pgNumType w:fmt="decimal"/>
      <w:formProt w:val="false"/>
      <w:textDirection w:val="lrTb"/>
      <w:docGrid w:type="default" w:linePitch="600" w:charSpace="4259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Helvetica Neue"/>
    <w:charset w:val="01"/>
    <w:family w:val="auto"/>
    <w:pitch w:val="default"/>
  </w:font>
  <w:font w:name="Manrope">
    <w:altName w:val="Inter"/>
    <w:charset w:val="01"/>
    <w:family w:val="auto"/>
    <w:pitch w:val="default"/>
  </w:font>
  <w:font w:name="JetBrains Mono">
    <w:altName w:val="DejaVu Sans Mono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Inter;Helvetica Neue;Arial;sans-serif" w:hAnsi="Inter;Helvetica Neue;Arial;sans-serif" w:eastAsia="Inter;Helvetica Neue;Arial;sans-serif" w:cs="Inter;Helvetica Neue;Arial;sans-serif"/>
      <w:color w:val="0D1B33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48"/>
      <w:szCs w:val="44"/>
    </w:rPr>
  </w:style>
  <w:style w:type="paragraph" w:styleId="Heading2">
    <w:name w:val="Heading 2"/>
    <w:basedOn w:val="Heading"/>
    <w:next w:val="BodyText"/>
    <w:qFormat/>
    <w:pPr>
      <w:spacing w:lineRule="auto" w:line="300" w:before="200" w:after="120"/>
      <w:outlineLvl w:val="1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300" w:before="140" w:after="120"/>
      <w:outlineLvl w:val="2"/>
    </w:pPr>
    <w:rPr>
      <w:rFonts w:ascii="Manrope;Inter;Arial;sans-serif" w:hAnsi="Manrope;Inter;Arial;sans-serif" w:eastAsia="Manrope;Inter;Arial;sans-serif" w:cs="Manrope;Inter;Arial;sans-serif"/>
      <w:b/>
      <w:bCs/>
      <w:color w:val="1D8C8C"/>
      <w:sz w:val="24"/>
      <w:szCs w:val="24"/>
    </w:rPr>
  </w:style>
  <w:style w:type="paragraph" w:styleId="Heading4">
    <w:name w:val="Heading 4"/>
    <w:basedOn w:val="Heading"/>
    <w:next w:val="BodyText"/>
    <w:qFormat/>
    <w:pPr>
      <w:keepNext w:val="true"/>
      <w:spacing w:lineRule="auto" w:line="300" w:before="120" w:after="120"/>
      <w:outlineLvl w:val="3"/>
    </w:pPr>
    <w:rPr>
      <w:rFonts w:ascii="Manrope;Inter;Arial;sans-serif" w:hAnsi="Manrope;Inter;Arial;sans-serif" w:eastAsia="Manrope;Inter;Arial;sans-serif" w:cs="Manrope;Inter;Arial;sans-serif"/>
      <w:b/>
      <w:bCs/>
      <w:color w:val="0D1B33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JetBrains Mono;DejaVu Sans Mono;monospace" w:hAnsi="JetBrains Mono;DejaVu Sans Mono;monospace" w:eastAsia="JetBrains Mono;DejaVu Sans Mono;monospace" w:cs="JetBrains Mono;DejaVu Sans Mono;monospace"/>
    </w:rPr>
  </w:style>
  <w:style w:type="character" w:styleId="Emphasis">
    <w:name w:val="Emphasis"/>
    <w:qFormat/>
    <w:rPr>
      <w:i/>
      <w:iCs/>
      <w:color w:val="0D1B33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PreformattedTextcode">
    <w:name w:val="Preformatted Text.code"/>
    <w:basedOn w:val="PreformattedText"/>
    <w:qFormat/>
    <w:pPr>
      <w:keepLines/>
      <w:pBdr/>
      <w:shd w:fill="0D1B33" w:val="clear"/>
    </w:pPr>
    <w:rPr>
      <w:color w:val="EAF2F4"/>
      <w:sz w:val="17"/>
      <w:szCs w:val="17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Heading">
    <w:name w:val="Table Heading"/>
    <w:basedOn w:val="TableContents"/>
    <w:qFormat/>
    <w:pPr>
      <w:suppressLineNumbers/>
      <w:shd w:fill="0D1B33" w:val="clear"/>
      <w:jc w:val="left"/>
    </w:pPr>
    <w:rPr>
      <w:b/>
      <w:bCs/>
      <w:color w:val="FFFFFF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