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jc w:val="left"/>
        <w:rPr/>
      </w:pPr>
      <w:r>
        <w:rPr/>
        <w:drawing>
          <wp:inline distT="0" distB="0" distL="0" distR="0">
            <wp:extent cx="10972800" cy="6877050"/>
            <wp:effectExtent l="0" t="0" r="0" b="0"/>
            <wp:docPr id="1" name="Image1" descr="MentorM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MentorMAMA"/>
                    <pic:cNvPicPr>
                      <a:picLocks noChangeAspect="1" noChangeArrowheads="1"/>
                    </pic:cNvPicPr>
                  </pic:nvPicPr>
                  <pic:blipFill>
                    <a:blip r:embed="rId2"/>
                    <a:stretch>
                      <a:fillRect/>
                    </a:stretch>
                  </pic:blipFill>
                  <pic:spPr bwMode="auto">
                    <a:xfrm>
                      <a:off x="0" y="0"/>
                      <a:ext cx="10972800" cy="6877050"/>
                    </a:xfrm>
                    <a:prstGeom prst="rect">
                      <a:avLst/>
                    </a:prstGeom>
                  </pic:spPr>
                </pic:pic>
              </a:graphicData>
            </a:graphic>
          </wp:inline>
        </w:drawing>
      </w:r>
      <w:r>
        <w:rPr/>
        <w:t xml:space="preserve"> </w:t>
      </w:r>
    </w:p>
    <w:p>
      <w:pPr>
        <w:pStyle w:val="BodyText"/>
        <w:bidi w:val="0"/>
        <w:jc w:val="left"/>
        <w:rPr/>
      </w:pPr>
      <w:r>
        <w:rPr/>
        <w:t>Stage 4 of the Design Sequence</w:t>
      </w:r>
    </w:p>
    <w:p>
      <w:pPr>
        <w:pStyle w:val="Heading1"/>
        <w:bidi w:val="0"/>
        <w:jc w:val="left"/>
        <w:rPr/>
      </w:pPr>
      <w:r>
        <w:rPr/>
        <w:t>Module Architecture &amp; Module Communication</w:t>
      </w:r>
    </w:p>
    <w:p>
      <w:pPr>
        <w:pStyle w:val="BodyText"/>
        <w:bidi w:val="0"/>
        <w:spacing w:before="0" w:after="0"/>
        <w:jc w:val="left"/>
        <w:rPr/>
      </w:pPr>
      <w:r>
        <w:rPr/>
        <w:t>Where the boundaries are, and how they are held</w:t>
      </w:r>
    </w:p>
    <w:p>
      <w:pPr>
        <w:pStyle w:val="BodyText"/>
        <w:bidi w:val="0"/>
        <w:spacing w:before="0" w:after="0"/>
        <w:jc w:val="left"/>
        <w:rPr/>
      </w:pPr>
      <w:r>
        <w:rPr/>
        <w:t>Eleven modules, one deployable, and three permitted ways for them to talk — including the resolution of the two atomic guards that cross context boundaries, without merging the modules and without weakening the guard.</w:t>
      </w:r>
    </w:p>
    <w:tbl>
      <w:tblPr>
        <w:tblW w:w="12512" w:type="dxa"/>
        <w:jc w:val="left"/>
        <w:tblInd w:w="0" w:type="dxa"/>
        <w:tblLayout w:type="fixed"/>
        <w:tblCellMar>
          <w:top w:w="28" w:type="dxa"/>
          <w:left w:w="28" w:type="dxa"/>
          <w:bottom w:w="28" w:type="dxa"/>
          <w:right w:w="28" w:type="dxa"/>
        </w:tblCellMar>
      </w:tblPr>
      <w:tblGrid>
        <w:gridCol w:w="1501"/>
        <w:gridCol w:w="11011"/>
      </w:tblGrid>
      <w:tr>
        <w:trPr/>
        <w:tc>
          <w:tcPr>
            <w:tcW w:w="1501" w:type="dxa"/>
            <w:tcBorders/>
            <w:vAlign w:val="center"/>
          </w:tcPr>
          <w:p>
            <w:pPr>
              <w:pStyle w:val="TableContents"/>
              <w:bidi w:val="0"/>
              <w:spacing w:before="0" w:after="283"/>
              <w:jc w:val="left"/>
              <w:rPr/>
            </w:pPr>
            <w:r>
              <w:rPr/>
              <w:t>Product</w:t>
            </w:r>
          </w:p>
        </w:tc>
        <w:tc>
          <w:tcPr>
            <w:tcW w:w="11011" w:type="dxa"/>
            <w:tcBorders/>
            <w:vAlign w:val="center"/>
          </w:tcPr>
          <w:p>
            <w:pPr>
              <w:pStyle w:val="TableContents"/>
              <w:bidi w:val="0"/>
              <w:spacing w:before="0" w:after="283"/>
              <w:jc w:val="left"/>
              <w:rPr/>
            </w:pPr>
            <w:r>
              <w:rPr/>
              <w:t>MentorMAMA — Digital Mentorship Toolkit for Safer Midwifery Clinical Placement</w:t>
            </w:r>
          </w:p>
        </w:tc>
      </w:tr>
      <w:tr>
        <w:trPr/>
        <w:tc>
          <w:tcPr>
            <w:tcW w:w="1501" w:type="dxa"/>
            <w:tcBorders/>
            <w:vAlign w:val="center"/>
          </w:tcPr>
          <w:p>
            <w:pPr>
              <w:pStyle w:val="TableContents"/>
              <w:bidi w:val="0"/>
              <w:spacing w:before="0" w:after="283"/>
              <w:jc w:val="left"/>
              <w:rPr/>
            </w:pPr>
            <w:r>
              <w:rPr/>
              <w:t>Prepared by</w:t>
            </w:r>
          </w:p>
        </w:tc>
        <w:tc>
          <w:tcPr>
            <w:tcW w:w="11011" w:type="dxa"/>
            <w:tcBorders/>
            <w:vAlign w:val="center"/>
          </w:tcPr>
          <w:p>
            <w:pPr>
              <w:pStyle w:val="TableContents"/>
              <w:bidi w:val="0"/>
              <w:spacing w:before="0" w:after="283"/>
              <w:jc w:val="left"/>
              <w:rPr/>
            </w:pPr>
            <w:r>
              <w:rPr/>
              <w:t>Sinaps Technology — Bouric Okwaro Enos (Ric), Co-Founder &amp; Team Lead</w:t>
            </w:r>
          </w:p>
        </w:tc>
      </w:tr>
      <w:tr>
        <w:trPr/>
        <w:tc>
          <w:tcPr>
            <w:tcW w:w="1501" w:type="dxa"/>
            <w:tcBorders/>
            <w:vAlign w:val="center"/>
          </w:tcPr>
          <w:p>
            <w:pPr>
              <w:pStyle w:val="TableContents"/>
              <w:bidi w:val="0"/>
              <w:spacing w:before="0" w:after="283"/>
              <w:jc w:val="left"/>
              <w:rPr/>
            </w:pPr>
            <w:r>
              <w:rPr/>
              <w:t>Document type</w:t>
            </w:r>
          </w:p>
        </w:tc>
        <w:tc>
          <w:tcPr>
            <w:tcW w:w="11011" w:type="dxa"/>
            <w:tcBorders/>
            <w:vAlign w:val="center"/>
          </w:tcPr>
          <w:p>
            <w:pPr>
              <w:pStyle w:val="TableContents"/>
              <w:bidi w:val="0"/>
              <w:spacing w:before="0" w:after="283"/>
              <w:jc w:val="left"/>
              <w:rPr/>
            </w:pPr>
            <w:r>
              <w:rPr/>
              <w:t>Stage 4 of the design sequence: Module Architecture &amp; Module Communication</w:t>
            </w:r>
          </w:p>
        </w:tc>
      </w:tr>
      <w:tr>
        <w:trPr/>
        <w:tc>
          <w:tcPr>
            <w:tcW w:w="1501" w:type="dxa"/>
            <w:tcBorders/>
            <w:vAlign w:val="center"/>
          </w:tcPr>
          <w:p>
            <w:pPr>
              <w:pStyle w:val="TableContents"/>
              <w:bidi w:val="0"/>
              <w:spacing w:before="0" w:after="283"/>
              <w:jc w:val="left"/>
              <w:rPr/>
            </w:pPr>
            <w:r>
              <w:rPr/>
              <w:t>Precedes</w:t>
            </w:r>
          </w:p>
        </w:tc>
        <w:tc>
          <w:tcPr>
            <w:tcW w:w="11011" w:type="dxa"/>
            <w:tcBorders/>
            <w:vAlign w:val="center"/>
          </w:tcPr>
          <w:p>
            <w:pPr>
              <w:pStyle w:val="TableContents"/>
              <w:bidi w:val="0"/>
              <w:spacing w:before="0" w:after="283"/>
              <w:jc w:val="left"/>
              <w:rPr/>
            </w:pPr>
            <w:r>
              <w:rPr/>
              <w:t>Stage 5 (Database Architecture) → Stage 6 (API Design) → Stage 7 (UI/UX) → Stage 8 (Sprints)</w:t>
            </w:r>
          </w:p>
        </w:tc>
      </w:tr>
      <w:tr>
        <w:trPr/>
        <w:tc>
          <w:tcPr>
            <w:tcW w:w="1501" w:type="dxa"/>
            <w:tcBorders/>
            <w:vAlign w:val="center"/>
          </w:tcPr>
          <w:p>
            <w:pPr>
              <w:pStyle w:val="TableContents"/>
              <w:bidi w:val="0"/>
              <w:spacing w:before="0" w:after="283"/>
              <w:jc w:val="left"/>
              <w:rPr/>
            </w:pPr>
            <w:r>
              <w:rPr/>
              <w:t>Builds on</w:t>
            </w:r>
          </w:p>
        </w:tc>
        <w:tc>
          <w:tcPr>
            <w:tcW w:w="11011" w:type="dxa"/>
            <w:tcBorders/>
            <w:vAlign w:val="center"/>
          </w:tcPr>
          <w:p>
            <w:pPr>
              <w:pStyle w:val="TableContents"/>
              <w:bidi w:val="0"/>
              <w:spacing w:before="0" w:after="283"/>
              <w:jc w:val="left"/>
              <w:rPr/>
            </w:pPr>
            <w:r>
              <w:rPr/>
              <w:t>Stage 3.5 Use Cases v1.0 (command, event, and transaction surfaces); Stage 3 Business Rules v1.1; Stage 2 Domain Model</w:t>
            </w:r>
          </w:p>
        </w:tc>
      </w:tr>
      <w:tr>
        <w:trPr/>
        <w:tc>
          <w:tcPr>
            <w:tcW w:w="1501" w:type="dxa"/>
            <w:tcBorders/>
            <w:vAlign w:val="center"/>
          </w:tcPr>
          <w:p>
            <w:pPr>
              <w:pStyle w:val="TableContents"/>
              <w:bidi w:val="0"/>
              <w:spacing w:before="0" w:after="283"/>
              <w:jc w:val="left"/>
              <w:rPr/>
            </w:pPr>
            <w:r>
              <w:rPr/>
              <w:t>Version</w:t>
            </w:r>
          </w:p>
        </w:tc>
        <w:tc>
          <w:tcPr>
            <w:tcW w:w="11011" w:type="dxa"/>
            <w:tcBorders/>
            <w:vAlign w:val="center"/>
          </w:tcPr>
          <w:p>
            <w:pPr>
              <w:pStyle w:val="TableContents"/>
              <w:bidi w:val="0"/>
              <w:spacing w:before="0" w:after="283"/>
              <w:jc w:val="left"/>
              <w:rPr/>
            </w:pPr>
            <w:r>
              <w:rPr/>
              <w:t>1.0</w:t>
            </w:r>
          </w:p>
        </w:tc>
      </w:tr>
      <w:tr>
        <w:trPr/>
        <w:tc>
          <w:tcPr>
            <w:tcW w:w="1501" w:type="dxa"/>
            <w:tcBorders/>
            <w:vAlign w:val="center"/>
          </w:tcPr>
          <w:p>
            <w:pPr>
              <w:pStyle w:val="TableContents"/>
              <w:bidi w:val="0"/>
              <w:spacing w:before="0" w:after="283"/>
              <w:jc w:val="left"/>
              <w:rPr/>
            </w:pPr>
            <w:r>
              <w:rPr/>
              <w:t>Date</w:t>
            </w:r>
          </w:p>
        </w:tc>
        <w:tc>
          <w:tcPr>
            <w:tcW w:w="11011" w:type="dxa"/>
            <w:tcBorders/>
            <w:vAlign w:val="center"/>
          </w:tcPr>
          <w:p>
            <w:pPr>
              <w:pStyle w:val="TableContents"/>
              <w:bidi w:val="0"/>
              <w:spacing w:before="0" w:after="283"/>
              <w:jc w:val="left"/>
              <w:rPr/>
            </w:pPr>
            <w:r>
              <w:rPr/>
              <w:t>July 2026</w:t>
            </w:r>
          </w:p>
        </w:tc>
      </w:tr>
    </w:tbl>
    <w:p>
      <w:pPr>
        <w:pStyle w:val="BodyText"/>
        <w:bidi w:val="0"/>
        <w:jc w:val="left"/>
        <w:rPr/>
      </w:pPr>
      <w:r>
        <w:rPr/>
        <w:t>Sinaps Technology  |  Driving Innovation Out of Isolation  ·  Confidential — Sinaps Technology / JHUB Africa</w:t>
      </w:r>
    </w:p>
    <w:p>
      <w:pPr>
        <w:pStyle w:val="Heading2"/>
        <w:bidi w:val="0"/>
        <w:jc w:val="left"/>
        <w:rPr/>
      </w:pPr>
      <w:r>
        <w:rPr/>
        <w:t>1. What This Stage Decides</w:t>
      </w:r>
    </w:p>
    <w:p>
      <w:pPr>
        <w:pStyle w:val="BodyText"/>
        <w:bidi w:val="0"/>
        <w:jc w:val="left"/>
        <w:rPr/>
      </w:pPr>
      <w:r>
        <w:rPr/>
        <w:t xml:space="preserve">Stage 3.5 produced three inventories: every command, every event, and every operation that must be atomic. Stage 4 turns those into </w:t>
      </w:r>
      <w:r>
        <w:rPr>
          <w:rStyle w:val="Strong"/>
        </w:rPr>
        <w:t>modules with owners and rules about who may call whom</w:t>
      </w:r>
      <w:r>
        <w:rPr/>
        <w:t>. It answers four questions:</w:t>
      </w:r>
    </w:p>
    <w:p>
      <w:pPr>
        <w:pStyle w:val="BodyText"/>
        <w:numPr>
          <w:ilvl w:val="0"/>
          <w:numId w:val="1"/>
        </w:numPr>
        <w:tabs>
          <w:tab w:val="clear" w:pos="1134"/>
          <w:tab w:val="left" w:pos="709" w:leader="none"/>
        </w:tabs>
        <w:bidi w:val="0"/>
        <w:spacing w:before="0" w:after="0"/>
        <w:ind w:hanging="283" w:left="709"/>
        <w:jc w:val="left"/>
        <w:rPr/>
      </w:pPr>
      <w:r>
        <w:rPr/>
        <w:t xml:space="preserve">Where are the boundaries? </w:t>
      </w:r>
    </w:p>
    <w:p>
      <w:pPr>
        <w:pStyle w:val="BodyText"/>
        <w:numPr>
          <w:ilvl w:val="0"/>
          <w:numId w:val="1"/>
        </w:numPr>
        <w:tabs>
          <w:tab w:val="clear" w:pos="1134"/>
          <w:tab w:val="left" w:pos="709" w:leader="none"/>
        </w:tabs>
        <w:bidi w:val="0"/>
        <w:spacing w:before="0" w:after="0"/>
        <w:ind w:hanging="283" w:left="709"/>
        <w:jc w:val="left"/>
        <w:rPr/>
      </w:pPr>
      <w:r>
        <w:rPr/>
        <w:t xml:space="preserve">What does each module own — data, commands, events? </w:t>
      </w:r>
    </w:p>
    <w:p>
      <w:pPr>
        <w:pStyle w:val="BodyText"/>
        <w:numPr>
          <w:ilvl w:val="0"/>
          <w:numId w:val="1"/>
        </w:numPr>
        <w:tabs>
          <w:tab w:val="clear" w:pos="1134"/>
          <w:tab w:val="left" w:pos="709" w:leader="none"/>
        </w:tabs>
        <w:bidi w:val="0"/>
        <w:spacing w:before="0" w:after="0"/>
        <w:ind w:hanging="283" w:left="709"/>
        <w:jc w:val="left"/>
        <w:rPr/>
      </w:pPr>
      <w:r>
        <w:rPr/>
        <w:t xml:space="preserve">How do modules communicate, and how do they not? </w:t>
      </w:r>
    </w:p>
    <w:p>
      <w:pPr>
        <w:pStyle w:val="BodyText"/>
        <w:numPr>
          <w:ilvl w:val="0"/>
          <w:numId w:val="1"/>
        </w:numPr>
        <w:tabs>
          <w:tab w:val="clear" w:pos="1134"/>
          <w:tab w:val="left" w:pos="709" w:leader="none"/>
        </w:tabs>
        <w:bidi w:val="0"/>
        <w:ind w:hanging="283" w:left="709"/>
        <w:jc w:val="left"/>
        <w:rPr/>
      </w:pPr>
      <w:r>
        <w:rPr/>
        <w:t xml:space="preserve">How do we stop the boundaries from eroding once six people are writing code? </w:t>
      </w:r>
    </w:p>
    <w:p>
      <w:pPr>
        <w:pStyle w:val="BodyText"/>
        <w:bidi w:val="0"/>
        <w:jc w:val="left"/>
        <w:rPr/>
      </w:pPr>
      <w:r>
        <w:rPr/>
        <w:t>The last question is the one that decides whether this document matters in month four. A boundary that is only described in a document is a suggestion. The enforcement mechanisms in §10 are what make it a rule.</w:t>
      </w:r>
    </w:p>
    <w:p>
      <w:pPr>
        <w:pStyle w:val="Heading3"/>
        <w:bidi w:val="0"/>
        <w:jc w:val="left"/>
        <w:rPr/>
      </w:pPr>
      <w:r>
        <w:rPr/>
        <w:t>1.1 The one rule that shaped everything below</w:t>
      </w:r>
    </w:p>
    <w:p>
      <w:pPr>
        <w:pStyle w:val="BlockQuotation"/>
        <w:bidi w:val="0"/>
        <w:jc w:val="left"/>
        <w:rPr/>
      </w:pPr>
      <w:r>
        <w:rPr>
          <w:rStyle w:val="Strong"/>
        </w:rPr>
        <w:t>A module boundary drawn through a transaction is the wrong boundary.</w:t>
      </w:r>
    </w:p>
    <w:p>
      <w:pPr>
        <w:pStyle w:val="BodyText"/>
        <w:bidi w:val="0"/>
        <w:jc w:val="left"/>
        <w:rPr/>
      </w:pPr>
      <w:r>
        <w:rPr/>
        <w:t>Stage 3 §10 lists nine operations that must be atomic. Two of them cross what look like natural context lines:</w:t>
      </w:r>
    </w:p>
    <w:p>
      <w:pPr>
        <w:pStyle w:val="BodyText"/>
        <w:numPr>
          <w:ilvl w:val="0"/>
          <w:numId w:val="2"/>
        </w:numPr>
        <w:tabs>
          <w:tab w:val="clear" w:pos="1134"/>
          <w:tab w:val="left" w:pos="709" w:leader="none"/>
        </w:tabs>
        <w:bidi w:val="0"/>
        <w:spacing w:before="0" w:after="0"/>
        <w:ind w:hanging="283" w:left="709"/>
        <w:jc w:val="left"/>
        <w:rPr/>
      </w:pPr>
      <w:r>
        <w:rPr>
          <w:rStyle w:val="Strong"/>
        </w:rPr>
        <w:t>TX-03</w:t>
      </w:r>
      <w:r>
        <w:rPr/>
        <w:t xml:space="preserve"> — completing an induction checklist </w:t>
      </w:r>
      <w:r>
        <w:rPr>
          <w:rStyle w:val="Emphasis"/>
        </w:rPr>
        <w:t>also</w:t>
      </w:r>
      <w:r>
        <w:rPr/>
        <w:t xml:space="preserve"> transitions the placement to </w:t>
      </w:r>
      <w:r>
        <w:rPr>
          <w:rStyle w:val="SourceText"/>
        </w:rPr>
        <w:t>Active</w:t>
      </w:r>
      <w:r>
        <w:rPr/>
        <w:t xml:space="preserve"> (INV-02). Induction and Placement are different contexts, one transaction. </w:t>
      </w:r>
    </w:p>
    <w:p>
      <w:pPr>
        <w:pStyle w:val="BodyText"/>
        <w:numPr>
          <w:ilvl w:val="0"/>
          <w:numId w:val="2"/>
        </w:numPr>
        <w:tabs>
          <w:tab w:val="clear" w:pos="1134"/>
          <w:tab w:val="left" w:pos="709" w:leader="none"/>
        </w:tabs>
        <w:bidi w:val="0"/>
        <w:ind w:hanging="283" w:left="709"/>
        <w:jc w:val="left"/>
        <w:rPr/>
      </w:pPr>
      <w:r>
        <w:rPr>
          <w:rStyle w:val="Strong"/>
        </w:rPr>
        <w:t>TX-08</w:t>
      </w:r>
      <w:r>
        <w:rPr/>
        <w:t xml:space="preserve"> — completing a placement requires checking that a final assessment exists (INV-08) and that no escalation is open (INV-07). Placement, Assessment, and Safeguarding — one transaction, and the check must be correct at the instant of commit. </w:t>
      </w:r>
    </w:p>
    <w:p>
      <w:pPr>
        <w:pStyle w:val="BodyText"/>
        <w:bidi w:val="0"/>
        <w:jc w:val="left"/>
        <w:rPr/>
      </w:pPr>
      <w:r>
        <w:rPr/>
        <w:t xml:space="preserve">Most architectures resolve this by giving up: they split the modules and accept eventual consistency on the guard. That is unacceptable here, because the guards in question are </w:t>
      </w:r>
      <w:r>
        <w:rPr>
          <w:rStyle w:val="Emphasis"/>
        </w:rPr>
        <w:t>"no unoriented student practises on a labour ward"</w:t>
      </w:r>
      <w:r>
        <w:rPr/>
        <w:t xml:space="preserve"> and </w:t>
      </w:r>
      <w:r>
        <w:rPr>
          <w:rStyle w:val="Emphasis"/>
        </w:rPr>
        <w:t>"no placement is signed off while a safeguarding concern is open."</w:t>
      </w:r>
      <w:r>
        <w:rPr/>
        <w:t xml:space="preserve"> A stale counter that lets either through once is not a performance issue; it is the product failing at its purpose.</w:t>
      </w:r>
    </w:p>
    <w:p>
      <w:pPr>
        <w:pStyle w:val="BodyText"/>
        <w:bidi w:val="0"/>
        <w:jc w:val="left"/>
        <w:rPr/>
      </w:pPr>
      <w:r>
        <w:rPr/>
        <w:t>§8 resolves both without merging the modules and without weakening the guard.</w:t>
      </w:r>
    </w:p>
    <w:p>
      <w:pPr>
        <w:pStyle w:val="HorizontalLine"/>
        <w:bidi w:val="0"/>
        <w:jc w:val="left"/>
        <w:rPr/>
      </w:pPr>
      <w:r>
        <w:rPr/>
      </w:r>
    </w:p>
    <w:p>
      <w:pPr>
        <w:pStyle w:val="Heading2"/>
        <w:bidi w:val="0"/>
        <w:jc w:val="left"/>
        <w:rPr/>
      </w:pPr>
      <w:r>
        <w:rPr/>
        <w:t>2. Architectural Shape: One Deployable, Many Modules</w:t>
      </w:r>
    </w:p>
    <w:p>
      <w:pPr>
        <w:pStyle w:val="BodyText"/>
        <w:bidi w:val="0"/>
        <w:jc w:val="left"/>
        <w:rPr/>
      </w:pPr>
      <w:r>
        <w:rPr>
          <w:rStyle w:val="Strong"/>
        </w:rPr>
        <w:t>Decision: a modular monolith — one deployable application, internally partitioned into modules with enforced boundaries.</w:t>
      </w:r>
      <w:r>
        <w:rPr/>
        <w:t xml:space="preserve"> Not microservices.</w:t>
      </w:r>
    </w:p>
    <w:tbl>
      <w:tblPr>
        <w:tblW w:w="17280" w:type="dxa"/>
        <w:jc w:val="left"/>
        <w:tblInd w:w="0" w:type="dxa"/>
        <w:tblLayout w:type="fixed"/>
        <w:tblCellMar>
          <w:top w:w="28" w:type="dxa"/>
          <w:left w:w="28" w:type="dxa"/>
          <w:bottom w:w="28" w:type="dxa"/>
          <w:right w:w="28" w:type="dxa"/>
        </w:tblCellMar>
      </w:tblPr>
      <w:tblGrid>
        <w:gridCol w:w="3595"/>
        <w:gridCol w:w="4956"/>
        <w:gridCol w:w="8729"/>
      </w:tblGrid>
      <w:tr>
        <w:trPr>
          <w:tblHeader w:val="true"/>
        </w:trPr>
        <w:tc>
          <w:tcPr>
            <w:tcW w:w="3595" w:type="dxa"/>
            <w:tcBorders/>
            <w:vAlign w:val="center"/>
          </w:tcPr>
          <w:p>
            <w:pPr>
              <w:pStyle w:val="TableHeading"/>
              <w:suppressLineNumbers/>
              <w:shd w:fill="0D1B33" w:val="clear"/>
              <w:bidi w:val="0"/>
              <w:spacing w:before="0" w:after="283"/>
              <w:jc w:val="left"/>
              <w:rPr/>
            </w:pPr>
            <w:r>
              <w:rPr/>
              <w:t>Criterion</w:t>
            </w:r>
          </w:p>
        </w:tc>
        <w:tc>
          <w:tcPr>
            <w:tcW w:w="4956" w:type="dxa"/>
            <w:tcBorders/>
            <w:vAlign w:val="center"/>
          </w:tcPr>
          <w:p>
            <w:pPr>
              <w:pStyle w:val="TableHeading"/>
              <w:suppressLineNumbers/>
              <w:shd w:fill="0D1B33" w:val="clear"/>
              <w:bidi w:val="0"/>
              <w:spacing w:before="0" w:after="283"/>
              <w:jc w:val="left"/>
              <w:rPr/>
            </w:pPr>
            <w:r>
              <w:rPr/>
              <w:t>Modular monolith</w:t>
            </w:r>
          </w:p>
        </w:tc>
        <w:tc>
          <w:tcPr>
            <w:tcW w:w="8729" w:type="dxa"/>
            <w:tcBorders/>
            <w:vAlign w:val="center"/>
          </w:tcPr>
          <w:p>
            <w:pPr>
              <w:pStyle w:val="TableHeading"/>
              <w:suppressLineNumbers/>
              <w:shd w:fill="0D1B33" w:val="clear"/>
              <w:bidi w:val="0"/>
              <w:spacing w:before="0" w:after="283"/>
              <w:jc w:val="left"/>
              <w:rPr/>
            </w:pPr>
            <w:r>
              <w:rPr/>
              <w:t>Microservices</w:t>
            </w:r>
          </w:p>
        </w:tc>
      </w:tr>
      <w:tr>
        <w:trPr/>
        <w:tc>
          <w:tcPr>
            <w:tcW w:w="3595" w:type="dxa"/>
            <w:tcBorders/>
            <w:vAlign w:val="center"/>
          </w:tcPr>
          <w:p>
            <w:pPr>
              <w:pStyle w:val="TableContents"/>
              <w:bidi w:val="0"/>
              <w:spacing w:before="0" w:after="283"/>
              <w:jc w:val="left"/>
              <w:rPr/>
            </w:pPr>
            <w:r>
              <w:rPr/>
              <w:t>Team size (3–6 developers)</w:t>
            </w:r>
          </w:p>
        </w:tc>
        <w:tc>
          <w:tcPr>
            <w:tcW w:w="4956" w:type="dxa"/>
            <w:tcBorders/>
            <w:vAlign w:val="center"/>
          </w:tcPr>
          <w:p>
            <w:pPr>
              <w:pStyle w:val="TableContents"/>
              <w:bidi w:val="0"/>
              <w:spacing w:before="0" w:after="283"/>
              <w:jc w:val="left"/>
              <w:rPr/>
            </w:pPr>
            <w:r>
              <w:rPr/>
              <w:t>Fits</w:t>
            </w:r>
          </w:p>
        </w:tc>
        <w:tc>
          <w:tcPr>
            <w:tcW w:w="8729" w:type="dxa"/>
            <w:tcBorders/>
            <w:vAlign w:val="center"/>
          </w:tcPr>
          <w:p>
            <w:pPr>
              <w:pStyle w:val="TableContents"/>
              <w:bidi w:val="0"/>
              <w:spacing w:before="0" w:after="283"/>
              <w:jc w:val="left"/>
              <w:rPr/>
            </w:pPr>
            <w:r>
              <w:rPr/>
              <w:t>Each service needs an owner; we do not have 11 owners</w:t>
            </w:r>
          </w:p>
        </w:tc>
      </w:tr>
      <w:tr>
        <w:trPr/>
        <w:tc>
          <w:tcPr>
            <w:tcW w:w="3595" w:type="dxa"/>
            <w:tcBorders/>
            <w:vAlign w:val="center"/>
          </w:tcPr>
          <w:p>
            <w:pPr>
              <w:pStyle w:val="TableContents"/>
              <w:bidi w:val="0"/>
              <w:spacing w:before="0" w:after="283"/>
              <w:jc w:val="left"/>
              <w:rPr/>
            </w:pPr>
            <w:r>
              <w:rPr/>
              <w:t>Atomic guards across contexts (§1.1)</w:t>
            </w:r>
          </w:p>
        </w:tc>
        <w:tc>
          <w:tcPr>
            <w:tcW w:w="4956" w:type="dxa"/>
            <w:tcBorders/>
            <w:vAlign w:val="center"/>
          </w:tcPr>
          <w:p>
            <w:pPr>
              <w:pStyle w:val="TableContents"/>
              <w:bidi w:val="0"/>
              <w:spacing w:before="0" w:after="283"/>
              <w:jc w:val="left"/>
              <w:rPr/>
            </w:pPr>
            <w:r>
              <w:rPr/>
              <w:t>Native — one database, one transaction</w:t>
            </w:r>
          </w:p>
        </w:tc>
        <w:tc>
          <w:tcPr>
            <w:tcW w:w="8729" w:type="dxa"/>
            <w:tcBorders/>
            <w:vAlign w:val="center"/>
          </w:tcPr>
          <w:p>
            <w:pPr>
              <w:pStyle w:val="TableContents"/>
              <w:bidi w:val="0"/>
              <w:spacing w:before="0" w:after="283"/>
              <w:jc w:val="left"/>
              <w:rPr/>
            </w:pPr>
            <w:r>
              <w:rPr/>
              <w:t>Requires sagas and compensating actions for INV-02 and INV-07. Enormous complexity for a pilot</w:t>
            </w:r>
          </w:p>
        </w:tc>
      </w:tr>
      <w:tr>
        <w:trPr/>
        <w:tc>
          <w:tcPr>
            <w:tcW w:w="3595" w:type="dxa"/>
            <w:tcBorders/>
            <w:vAlign w:val="center"/>
          </w:tcPr>
          <w:p>
            <w:pPr>
              <w:pStyle w:val="TableContents"/>
              <w:bidi w:val="0"/>
              <w:spacing w:before="0" w:after="283"/>
              <w:jc w:val="left"/>
              <w:rPr/>
            </w:pPr>
            <w:r>
              <w:rPr/>
              <w:t>Pilot scale (30–80 students, 25 mentors)</w:t>
            </w:r>
          </w:p>
        </w:tc>
        <w:tc>
          <w:tcPr>
            <w:tcW w:w="4956" w:type="dxa"/>
            <w:tcBorders/>
            <w:vAlign w:val="center"/>
          </w:tcPr>
          <w:p>
            <w:pPr>
              <w:pStyle w:val="TableContents"/>
              <w:bidi w:val="0"/>
              <w:spacing w:before="0" w:after="283"/>
              <w:jc w:val="left"/>
              <w:rPr/>
            </w:pPr>
            <w:r>
              <w:rPr/>
              <w:t>Vastly over-provisioned already</w:t>
            </w:r>
          </w:p>
        </w:tc>
        <w:tc>
          <w:tcPr>
            <w:tcW w:w="8729" w:type="dxa"/>
            <w:tcBorders/>
            <w:vAlign w:val="center"/>
          </w:tcPr>
          <w:p>
            <w:pPr>
              <w:pStyle w:val="TableContents"/>
              <w:bidi w:val="0"/>
              <w:spacing w:before="0" w:after="283"/>
              <w:jc w:val="left"/>
              <w:rPr/>
            </w:pPr>
            <w:r>
              <w:rPr/>
              <w:t>Solving a load problem we will not have this decade at this scale</w:t>
            </w:r>
          </w:p>
        </w:tc>
      </w:tr>
      <w:tr>
        <w:trPr/>
        <w:tc>
          <w:tcPr>
            <w:tcW w:w="3595" w:type="dxa"/>
            <w:tcBorders/>
            <w:vAlign w:val="center"/>
          </w:tcPr>
          <w:p>
            <w:pPr>
              <w:pStyle w:val="TableContents"/>
              <w:bidi w:val="0"/>
              <w:spacing w:before="0" w:after="283"/>
              <w:jc w:val="left"/>
              <w:rPr/>
            </w:pPr>
            <w:r>
              <w:rPr/>
              <w:t>Operational burden</w:t>
            </w:r>
          </w:p>
        </w:tc>
        <w:tc>
          <w:tcPr>
            <w:tcW w:w="4956" w:type="dxa"/>
            <w:tcBorders/>
            <w:vAlign w:val="center"/>
          </w:tcPr>
          <w:p>
            <w:pPr>
              <w:pStyle w:val="TableContents"/>
              <w:bidi w:val="0"/>
              <w:spacing w:before="0" w:after="283"/>
              <w:jc w:val="left"/>
              <w:rPr/>
            </w:pPr>
            <w:r>
              <w:rPr/>
              <w:t>One deploy, one database, one log stream</w:t>
            </w:r>
          </w:p>
        </w:tc>
        <w:tc>
          <w:tcPr>
            <w:tcW w:w="8729" w:type="dxa"/>
            <w:tcBorders/>
            <w:vAlign w:val="center"/>
          </w:tcPr>
          <w:p>
            <w:pPr>
              <w:pStyle w:val="TableContents"/>
              <w:bidi w:val="0"/>
              <w:spacing w:before="0" w:after="283"/>
              <w:jc w:val="left"/>
              <w:rPr/>
            </w:pPr>
            <w:r>
              <w:rPr/>
              <w:t>Distributed tracing, service discovery, N pipelines — with no ops team</w:t>
            </w:r>
          </w:p>
        </w:tc>
      </w:tr>
      <w:tr>
        <w:trPr/>
        <w:tc>
          <w:tcPr>
            <w:tcW w:w="3595" w:type="dxa"/>
            <w:tcBorders/>
            <w:vAlign w:val="center"/>
          </w:tcPr>
          <w:p>
            <w:pPr>
              <w:pStyle w:val="TableContents"/>
              <w:bidi w:val="0"/>
              <w:spacing w:before="0" w:after="283"/>
              <w:jc w:val="left"/>
              <w:rPr/>
            </w:pPr>
            <w:r>
              <w:rPr/>
              <w:t>Future extraction</w:t>
            </w:r>
          </w:p>
        </w:tc>
        <w:tc>
          <w:tcPr>
            <w:tcW w:w="4956" w:type="dxa"/>
            <w:tcBorders/>
            <w:vAlign w:val="center"/>
          </w:tcPr>
          <w:p>
            <w:pPr>
              <w:pStyle w:val="TableContents"/>
              <w:bidi w:val="0"/>
              <w:spacing w:before="0" w:after="283"/>
              <w:jc w:val="left"/>
              <w:rPr/>
            </w:pPr>
            <w:r>
              <w:rPr/>
              <w:t>Possible, if boundaries are enforced from day one (§10)</w:t>
            </w:r>
          </w:p>
        </w:tc>
        <w:tc>
          <w:tcPr>
            <w:tcW w:w="8729" w:type="dxa"/>
            <w:tcBorders/>
            <w:vAlign w:val="center"/>
          </w:tcPr>
          <w:p>
            <w:pPr>
              <w:pStyle w:val="TableContents"/>
              <w:bidi w:val="0"/>
              <w:spacing w:before="0" w:after="283"/>
              <w:jc w:val="left"/>
              <w:rPr/>
            </w:pPr>
            <w:r>
              <w:rPr/>
              <w:t>Already paid for, whether needed or not</w:t>
            </w:r>
          </w:p>
        </w:tc>
      </w:tr>
    </w:tbl>
    <w:p>
      <w:pPr>
        <w:pStyle w:val="BodyText"/>
        <w:bidi w:val="0"/>
        <w:jc w:val="left"/>
        <w:rPr/>
      </w:pPr>
      <w:r>
        <w:rPr/>
        <w:t xml:space="preserve">The trade-off accepted: process isolation does not enforce our boundaries, so </w:t>
      </w:r>
      <w:r>
        <w:rPr>
          <w:rStyle w:val="Strong"/>
        </w:rPr>
        <w:t>discipline must</w:t>
      </w:r>
      <w:r>
        <w:rPr/>
        <w:t>. That is precisely why §10 exists and why boundary checks run in CI rather than living in a wiki.</w:t>
      </w:r>
    </w:p>
    <w:p>
      <w:pPr>
        <w:pStyle w:val="BodyText"/>
        <w:bidi w:val="0"/>
        <w:jc w:val="left"/>
        <w:rPr/>
      </w:pPr>
      <w:r>
        <w:rPr/>
        <w:t>The path out, if it is ever needed: modules communicate through published interfaces and events already, so extracting one means replacing an in-process call with a network call and its shared foreign keys with identifiers. §7.3 records exactly which couplings would have to be paid for at that point, so the bill is known in advance rather than discovered.</w:t>
      </w:r>
    </w:p>
    <w:p>
      <w:pPr>
        <w:pStyle w:val="HorizontalLine"/>
        <w:bidi w:val="0"/>
        <w:jc w:val="left"/>
        <w:rPr/>
      </w:pPr>
      <w:r>
        <w:rPr/>
      </w:r>
    </w:p>
    <w:p>
      <w:pPr>
        <w:pStyle w:val="Heading2"/>
        <w:bidi w:val="0"/>
        <w:jc w:val="left"/>
        <w:rPr/>
      </w:pPr>
      <w:r>
        <w:rPr/>
        <w:t>3. The Module Map</w:t>
      </w:r>
    </w:p>
    <w:p>
      <w:pPr>
        <w:pStyle w:val="BodyText"/>
        <w:bidi w:val="0"/>
        <w:jc w:val="left"/>
        <w:rPr/>
      </w:pPr>
      <w:r>
        <w:rPr/>
        <w:t>Eleven domain modules plus one platform layer. Each is a bounded context from Stage 2 §5.2, with one rename and one addition explained in §4.</w:t>
      </w:r>
    </w:p>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57315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60085" cy="5731510"/>
                    </a:xfrm>
                    <a:prstGeom prst="rect">
                      <a:avLst/>
                    </a:prstGeom>
                  </pic:spPr>
                </pic:pic>
              </a:graphicData>
            </a:graphic>
          </wp:inline>
        </w:drawing>
      </w:r>
    </w:p>
    <w:p>
      <w:pPr>
        <w:pStyle w:val="BodyText"/>
        <w:bidi w:val="0"/>
        <w:jc w:val="left"/>
        <w:rPr/>
      </w:pPr>
      <w:r>
        <w:rPr>
          <w:rStyle w:val="Emphasis"/>
        </w:rPr>
        <w:t xml:space="preserve">Solid arrows are permitted imports, always downward. The dotted arrow from Layer 5 is not an import at all — </w:t>
      </w:r>
      <w:r>
        <w:rPr>
          <w:rStyle w:val="SourceText"/>
        </w:rPr>
        <w:t>analytics</w:t>
      </w:r>
      <w:r>
        <w:rPr>
          <w:rStyle w:val="Emphasis"/>
        </w:rPr>
        <w:t xml:space="preserve"> and </w:t>
      </w:r>
      <w:r>
        <w:rPr>
          <w:rStyle w:val="SourceText"/>
        </w:rPr>
        <w:t>notifications</w:t>
      </w:r>
      <w:r>
        <w:rPr>
          <w:rStyle w:val="Emphasis"/>
        </w:rPr>
        <w:t xml:space="preserve"> learn about the world only from events dispatched after commit. Module-level detail is in §4.</w:t>
      </w:r>
    </w:p>
    <w:p>
      <w:pPr>
        <w:pStyle w:val="Heading3"/>
        <w:bidi w:val="0"/>
        <w:jc w:val="left"/>
        <w:rPr/>
      </w:pPr>
      <w:r>
        <w:rPr/>
        <w:t>3.1 Layer rules</w:t>
      </w:r>
    </w:p>
    <w:tbl>
      <w:tblPr>
        <w:tblW w:w="15167" w:type="dxa"/>
        <w:jc w:val="left"/>
        <w:tblInd w:w="0" w:type="dxa"/>
        <w:tblLayout w:type="fixed"/>
        <w:tblCellMar>
          <w:top w:w="28" w:type="dxa"/>
          <w:left w:w="28" w:type="dxa"/>
          <w:bottom w:w="28" w:type="dxa"/>
          <w:right w:w="28" w:type="dxa"/>
        </w:tblCellMar>
      </w:tblPr>
      <w:tblGrid>
        <w:gridCol w:w="691"/>
        <w:gridCol w:w="14476"/>
      </w:tblGrid>
      <w:tr>
        <w:trPr>
          <w:tblHeader w:val="true"/>
        </w:trPr>
        <w:tc>
          <w:tcPr>
            <w:tcW w:w="691" w:type="dxa"/>
            <w:tcBorders/>
            <w:vAlign w:val="center"/>
          </w:tcPr>
          <w:p>
            <w:pPr>
              <w:pStyle w:val="TableHeading"/>
              <w:suppressLineNumbers/>
              <w:shd w:fill="0D1B33" w:val="clear"/>
              <w:bidi w:val="0"/>
              <w:spacing w:before="0" w:after="283"/>
              <w:jc w:val="left"/>
              <w:rPr/>
            </w:pPr>
            <w:r>
              <w:rPr/>
              <w:t>Rule</w:t>
            </w:r>
          </w:p>
        </w:tc>
        <w:tc>
          <w:tcPr>
            <w:tcW w:w="14476" w:type="dxa"/>
            <w:tcBorders/>
            <w:vAlign w:val="center"/>
          </w:tcPr>
          <w:p>
            <w:pPr>
              <w:pStyle w:val="TableHeading"/>
              <w:suppressLineNumbers/>
              <w:shd w:fill="0D1B33" w:val="clear"/>
              <w:bidi w:val="0"/>
              <w:spacing w:before="0" w:after="283"/>
              <w:jc w:val="left"/>
              <w:rPr/>
            </w:pPr>
            <w:r>
              <w:rPr/>
              <w:t>Statement</w:t>
            </w:r>
          </w:p>
        </w:tc>
      </w:tr>
      <w:tr>
        <w:trPr/>
        <w:tc>
          <w:tcPr>
            <w:tcW w:w="691" w:type="dxa"/>
            <w:tcBorders/>
            <w:vAlign w:val="center"/>
          </w:tcPr>
          <w:p>
            <w:pPr>
              <w:pStyle w:val="TableContents"/>
              <w:bidi w:val="0"/>
              <w:spacing w:before="0" w:after="283"/>
              <w:jc w:val="left"/>
              <w:rPr/>
            </w:pPr>
            <w:r>
              <w:rPr/>
              <w:t>MA-01</w:t>
            </w:r>
          </w:p>
        </w:tc>
        <w:tc>
          <w:tcPr>
            <w:tcW w:w="14476" w:type="dxa"/>
            <w:tcBorders/>
            <w:vAlign w:val="center"/>
          </w:tcPr>
          <w:p>
            <w:pPr>
              <w:pStyle w:val="TableContents"/>
              <w:bidi w:val="0"/>
              <w:spacing w:before="0" w:after="283"/>
              <w:jc w:val="left"/>
              <w:rPr/>
            </w:pPr>
            <w:r>
              <w:rPr/>
              <w:t xml:space="preserve">Dependencies point </w:t>
            </w:r>
            <w:r>
              <w:rPr>
                <w:rStyle w:val="Strong"/>
              </w:rPr>
              <w:t>downward only</w:t>
            </w:r>
            <w:r>
              <w:rPr/>
              <w:t>. A module may import from a lower layer, never from a higher one, never sideways within its own layer.</w:t>
            </w:r>
          </w:p>
        </w:tc>
      </w:tr>
      <w:tr>
        <w:trPr/>
        <w:tc>
          <w:tcPr>
            <w:tcW w:w="691" w:type="dxa"/>
            <w:tcBorders/>
            <w:vAlign w:val="center"/>
          </w:tcPr>
          <w:p>
            <w:pPr>
              <w:pStyle w:val="TableContents"/>
              <w:bidi w:val="0"/>
              <w:spacing w:before="0" w:after="283"/>
              <w:jc w:val="left"/>
              <w:rPr/>
            </w:pPr>
            <w:r>
              <w:rPr/>
              <w:t>MA-02</w:t>
            </w:r>
          </w:p>
        </w:tc>
        <w:tc>
          <w:tcPr>
            <w:tcW w:w="14476" w:type="dxa"/>
            <w:tcBorders/>
            <w:vAlign w:val="center"/>
          </w:tcPr>
          <w:p>
            <w:pPr>
              <w:pStyle w:val="TableContents"/>
              <w:bidi w:val="0"/>
              <w:spacing w:before="0" w:after="283"/>
              <w:jc w:val="left"/>
              <w:rPr/>
            </w:pPr>
            <w:r>
              <w:rPr>
                <w:rStyle w:val="SourceText"/>
              </w:rPr>
              <w:t>analytics</w:t>
            </w:r>
            <w:r>
              <w:rPr/>
              <w:t xml:space="preserve"> and </w:t>
            </w:r>
            <w:r>
              <w:rPr>
                <w:rStyle w:val="SourceText"/>
              </w:rPr>
              <w:t>notifications</w:t>
            </w:r>
            <w:r>
              <w:rPr/>
              <w:t xml:space="preserve"> are </w:t>
            </w:r>
            <w:r>
              <w:rPr>
                <w:rStyle w:val="Strong"/>
              </w:rPr>
              <w:t>leaves</w:t>
            </w:r>
            <w:r>
              <w:rPr/>
              <w:t>. Nothing may depend on them. They learn about the world only through events.</w:t>
            </w:r>
          </w:p>
        </w:tc>
      </w:tr>
      <w:tr>
        <w:trPr/>
        <w:tc>
          <w:tcPr>
            <w:tcW w:w="691" w:type="dxa"/>
            <w:tcBorders/>
            <w:vAlign w:val="center"/>
          </w:tcPr>
          <w:p>
            <w:pPr>
              <w:pStyle w:val="TableContents"/>
              <w:bidi w:val="0"/>
              <w:spacing w:before="0" w:after="283"/>
              <w:jc w:val="left"/>
              <w:rPr/>
            </w:pPr>
            <w:r>
              <w:rPr/>
              <w:t>MA-03</w:t>
            </w:r>
          </w:p>
        </w:tc>
        <w:tc>
          <w:tcPr>
            <w:tcW w:w="14476" w:type="dxa"/>
            <w:tcBorders/>
            <w:vAlign w:val="center"/>
          </w:tcPr>
          <w:p>
            <w:pPr>
              <w:pStyle w:val="TableContents"/>
              <w:bidi w:val="0"/>
              <w:spacing w:before="0" w:after="283"/>
              <w:jc w:val="left"/>
              <w:rPr/>
            </w:pPr>
            <w:r>
              <w:rPr>
                <w:rStyle w:val="SourceText"/>
              </w:rPr>
              <w:t>core</w:t>
            </w:r>
            <w:r>
              <w:rPr/>
              <w:t xml:space="preserve"> and </w:t>
            </w:r>
            <w:r>
              <w:rPr>
                <w:rStyle w:val="SourceText"/>
              </w:rPr>
              <w:t>identity</w:t>
            </w:r>
            <w:r>
              <w:rPr/>
              <w:t xml:space="preserve"> depend on no domain module. Everything may depend on them.</w:t>
            </w:r>
          </w:p>
        </w:tc>
      </w:tr>
      <w:tr>
        <w:trPr/>
        <w:tc>
          <w:tcPr>
            <w:tcW w:w="691" w:type="dxa"/>
            <w:tcBorders/>
            <w:vAlign w:val="center"/>
          </w:tcPr>
          <w:p>
            <w:pPr>
              <w:pStyle w:val="TableContents"/>
              <w:bidi w:val="0"/>
              <w:spacing w:before="0" w:after="283"/>
              <w:jc w:val="left"/>
              <w:rPr/>
            </w:pPr>
            <w:r>
              <w:rPr/>
              <w:t>MA-04</w:t>
            </w:r>
          </w:p>
        </w:tc>
        <w:tc>
          <w:tcPr>
            <w:tcW w:w="14476" w:type="dxa"/>
            <w:tcBorders/>
            <w:vAlign w:val="center"/>
          </w:tcPr>
          <w:p>
            <w:pPr>
              <w:pStyle w:val="TableContents"/>
              <w:bidi w:val="0"/>
              <w:spacing w:before="0" w:after="283"/>
              <w:jc w:val="left"/>
              <w:rPr/>
            </w:pPr>
            <w:r>
              <w:rPr/>
              <w:t>Two modules in the same layer never import each other. If they appear to need to, one of them is in the wrong layer, or the interaction belongs to a lower layer.</w:t>
            </w:r>
          </w:p>
        </w:tc>
      </w:tr>
      <w:tr>
        <w:trPr/>
        <w:tc>
          <w:tcPr>
            <w:tcW w:w="691" w:type="dxa"/>
            <w:tcBorders/>
            <w:vAlign w:val="center"/>
          </w:tcPr>
          <w:p>
            <w:pPr>
              <w:pStyle w:val="TableContents"/>
              <w:bidi w:val="0"/>
              <w:spacing w:before="0" w:after="283"/>
              <w:jc w:val="left"/>
              <w:rPr/>
            </w:pPr>
            <w:r>
              <w:rPr/>
              <w:t>MA-05</w:t>
            </w:r>
          </w:p>
        </w:tc>
        <w:tc>
          <w:tcPr>
            <w:tcW w:w="14476" w:type="dxa"/>
            <w:tcBorders/>
            <w:vAlign w:val="center"/>
          </w:tcPr>
          <w:p>
            <w:pPr>
              <w:pStyle w:val="TableContents"/>
              <w:bidi w:val="0"/>
              <w:spacing w:before="0" w:after="283"/>
              <w:jc w:val="left"/>
              <w:rPr/>
            </w:pPr>
            <w:r>
              <w:rPr/>
              <w:t xml:space="preserve">Cross-layer </w:t>
            </w:r>
            <w:r>
              <w:rPr>
                <w:rStyle w:val="Emphasis"/>
              </w:rPr>
              <w:t>upward</w:t>
            </w:r>
            <w:r>
              <w:rPr/>
              <w:t xml:space="preserve"> needs — a lower module requiring something from a higher one — are resolved by </w:t>
            </w:r>
            <w:r>
              <w:rPr>
                <w:rStyle w:val="Strong"/>
              </w:rPr>
              <w:t>dependency inversion</w:t>
            </w:r>
            <w:r>
              <w:rPr/>
              <w:t>, never by an upward import (§8).</w:t>
            </w:r>
          </w:p>
        </w:tc>
      </w:tr>
    </w:tbl>
    <w:p>
      <w:pPr>
        <w:pStyle w:val="BodyText"/>
        <w:bidi w:val="0"/>
        <w:jc w:val="left"/>
        <w:rPr/>
      </w:pPr>
      <w:r>
        <w:rPr/>
        <w:t xml:space="preserve">MA-04 is what keeps </w:t>
      </w:r>
      <w:r>
        <w:rPr>
          <w:rStyle w:val="SourceText"/>
        </w:rPr>
        <w:t>induction</w:t>
      </w:r>
      <w:r>
        <w:rPr/>
        <w:t xml:space="preserve">, </w:t>
      </w:r>
      <w:r>
        <w:rPr>
          <w:rStyle w:val="SourceText"/>
        </w:rPr>
        <w:t>mentorship</w:t>
      </w:r>
      <w:r>
        <w:rPr/>
        <w:t xml:space="preserve">, </w:t>
      </w:r>
      <w:r>
        <w:rPr>
          <w:rStyle w:val="SourceText"/>
        </w:rPr>
        <w:t>assessments</w:t>
      </w:r>
      <w:r>
        <w:rPr/>
        <w:t xml:space="preserve">, and </w:t>
      </w:r>
      <w:r>
        <w:rPr>
          <w:rStyle w:val="SourceText"/>
        </w:rPr>
        <w:t>safeguarding</w:t>
      </w:r>
      <w:r>
        <w:rPr/>
        <w:t xml:space="preserve"> independent of one another. They are siblings, all children of the same aggregate, and none of them should know the others exist. A session log must never import the escalation model.</w:t>
      </w:r>
    </w:p>
    <w:p>
      <w:pPr>
        <w:pStyle w:val="HorizontalLine"/>
        <w:bidi w:val="0"/>
        <w:jc w:val="left"/>
        <w:rPr/>
      </w:pPr>
      <w:r>
        <w:rPr/>
      </w:r>
    </w:p>
    <w:p>
      <w:pPr>
        <w:pStyle w:val="Heading2"/>
        <w:bidi w:val="0"/>
        <w:jc w:val="left"/>
        <w:rPr/>
      </w:pPr>
      <w:r>
        <w:rPr/>
        <w:t>4. Module Catalogue</w:t>
      </w:r>
    </w:p>
    <w:p>
      <w:pPr>
        <w:pStyle w:val="BodyText"/>
        <w:bidi w:val="0"/>
        <w:jc w:val="left"/>
        <w:rPr/>
      </w:pPr>
      <w:r>
        <w:rPr/>
        <w:t xml:space="preserve">Each module owns its data exclusively, publishes a narrow interface, and raises events. "Owns" means: no other module reads or writes those tables directly — access is through the interface in </w:t>
      </w:r>
      <w:r>
        <w:rPr>
          <w:rStyle w:val="SourceText"/>
        </w:rPr>
        <w:t>api.py</w:t>
      </w:r>
      <w:r>
        <w:rPr/>
        <w:t>.</w:t>
      </w:r>
    </w:p>
    <w:p>
      <w:pPr>
        <w:pStyle w:val="Heading3"/>
        <w:bidi w:val="0"/>
        <w:jc w:val="left"/>
        <w:rPr/>
      </w:pPr>
      <w:r>
        <w:rPr/>
        <w:t>4.1 Platform layer</w:t>
      </w:r>
    </w:p>
    <w:tbl>
      <w:tblPr>
        <w:tblW w:w="17280" w:type="dxa"/>
        <w:jc w:val="left"/>
        <w:tblInd w:w="0" w:type="dxa"/>
        <w:tblLayout w:type="fixed"/>
        <w:tblCellMar>
          <w:top w:w="28" w:type="dxa"/>
          <w:left w:w="28" w:type="dxa"/>
          <w:bottom w:w="28" w:type="dxa"/>
          <w:right w:w="28" w:type="dxa"/>
        </w:tblCellMar>
      </w:tblPr>
      <w:tblGrid>
        <w:gridCol w:w="811"/>
        <w:gridCol w:w="5093"/>
        <w:gridCol w:w="4415"/>
        <w:gridCol w:w="6961"/>
      </w:tblGrid>
      <w:tr>
        <w:trPr>
          <w:tblHeader w:val="true"/>
        </w:trPr>
        <w:tc>
          <w:tcPr>
            <w:tcW w:w="811" w:type="dxa"/>
            <w:tcBorders/>
            <w:vAlign w:val="center"/>
          </w:tcPr>
          <w:p>
            <w:pPr>
              <w:pStyle w:val="TableHeading"/>
              <w:suppressLineNumbers/>
              <w:shd w:fill="0D1B33" w:val="clear"/>
              <w:bidi w:val="0"/>
              <w:spacing w:before="0" w:after="283"/>
              <w:jc w:val="left"/>
              <w:rPr/>
            </w:pPr>
            <w:r>
              <w:rPr/>
              <w:t>Module</w:t>
            </w:r>
          </w:p>
        </w:tc>
        <w:tc>
          <w:tcPr>
            <w:tcW w:w="5093" w:type="dxa"/>
            <w:tcBorders/>
            <w:vAlign w:val="center"/>
          </w:tcPr>
          <w:p>
            <w:pPr>
              <w:pStyle w:val="TableHeading"/>
              <w:suppressLineNumbers/>
              <w:shd w:fill="0D1B33" w:val="clear"/>
              <w:bidi w:val="0"/>
              <w:spacing w:before="0" w:after="283"/>
              <w:jc w:val="left"/>
              <w:rPr/>
            </w:pPr>
            <w:r>
              <w:rPr/>
              <w:t>Owns</w:t>
            </w:r>
          </w:p>
        </w:tc>
        <w:tc>
          <w:tcPr>
            <w:tcW w:w="4415" w:type="dxa"/>
            <w:tcBorders/>
            <w:vAlign w:val="center"/>
          </w:tcPr>
          <w:p>
            <w:pPr>
              <w:pStyle w:val="TableHeading"/>
              <w:suppressLineNumbers/>
              <w:shd w:fill="0D1B33" w:val="clear"/>
              <w:bidi w:val="0"/>
              <w:spacing w:before="0" w:after="283"/>
              <w:jc w:val="left"/>
              <w:rPr/>
            </w:pPr>
            <w:r>
              <w:rPr/>
              <w:t>Public interface</w:t>
            </w:r>
          </w:p>
        </w:tc>
        <w:tc>
          <w:tcPr>
            <w:tcW w:w="6961" w:type="dxa"/>
            <w:tcBorders/>
            <w:vAlign w:val="center"/>
          </w:tcPr>
          <w:p>
            <w:pPr>
              <w:pStyle w:val="TableHeading"/>
              <w:suppressLineNumbers/>
              <w:shd w:fill="0D1B33" w:val="clear"/>
              <w:bidi w:val="0"/>
              <w:spacing w:before="0" w:after="283"/>
              <w:jc w:val="left"/>
              <w:rPr/>
            </w:pPr>
            <w:r>
              <w:rPr/>
              <w:t>Notes</w:t>
            </w:r>
          </w:p>
        </w:tc>
      </w:tr>
      <w:tr>
        <w:trPr/>
        <w:tc>
          <w:tcPr>
            <w:tcW w:w="811" w:type="dxa"/>
            <w:tcBorders/>
            <w:vAlign w:val="center"/>
          </w:tcPr>
          <w:p>
            <w:pPr>
              <w:pStyle w:val="TableContents"/>
              <w:bidi w:val="0"/>
              <w:spacing w:before="0" w:after="283"/>
              <w:jc w:val="left"/>
              <w:rPr/>
            </w:pPr>
            <w:r>
              <w:rPr>
                <w:rStyle w:val="SourceText"/>
              </w:rPr>
              <w:t>core</w:t>
            </w:r>
          </w:p>
        </w:tc>
        <w:tc>
          <w:tcPr>
            <w:tcW w:w="5093" w:type="dxa"/>
            <w:tcBorders/>
            <w:vAlign w:val="center"/>
          </w:tcPr>
          <w:p>
            <w:pPr>
              <w:pStyle w:val="TableContents"/>
              <w:bidi w:val="0"/>
              <w:spacing w:before="0" w:after="283"/>
              <w:jc w:val="left"/>
              <w:rPr/>
            </w:pPr>
            <w:r>
              <w:rPr/>
              <w:t>Audit entries, outbox events, idempotency keys, base model, domain error catalogue</w:t>
            </w:r>
          </w:p>
        </w:tc>
        <w:tc>
          <w:tcPr>
            <w:tcW w:w="4415" w:type="dxa"/>
            <w:tcBorders/>
            <w:vAlign w:val="center"/>
          </w:tcPr>
          <w:p>
            <w:pPr>
              <w:pStyle w:val="TableContents"/>
              <w:bidi w:val="0"/>
              <w:spacing w:before="0" w:after="283"/>
              <w:jc w:val="left"/>
              <w:rPr/>
            </w:pPr>
            <w:r>
              <w:rPr>
                <w:rStyle w:val="SourceText"/>
              </w:rPr>
              <w:t>audit.record()</w:t>
            </w:r>
            <w:r>
              <w:rPr/>
              <w:t xml:space="preserve">, </w:t>
            </w:r>
            <w:r>
              <w:rPr>
                <w:rStyle w:val="SourceText"/>
              </w:rPr>
              <w:t>outbox.publish()</w:t>
            </w:r>
            <w:r>
              <w:rPr/>
              <w:t xml:space="preserve">, </w:t>
            </w:r>
            <w:r>
              <w:rPr>
                <w:rStyle w:val="SourceText"/>
              </w:rPr>
              <w:t>idempotency.guard()</w:t>
            </w:r>
            <w:r>
              <w:rPr/>
              <w:t>, error classes</w:t>
            </w:r>
          </w:p>
        </w:tc>
        <w:tc>
          <w:tcPr>
            <w:tcW w:w="6961" w:type="dxa"/>
            <w:tcBorders/>
            <w:vAlign w:val="center"/>
          </w:tcPr>
          <w:p>
            <w:pPr>
              <w:pStyle w:val="TableContents"/>
              <w:bidi w:val="0"/>
              <w:spacing w:before="0" w:after="283"/>
              <w:jc w:val="left"/>
              <w:rPr/>
            </w:pPr>
            <w:r>
              <w:rPr/>
              <w:t>No domain concepts. Every module writes audit and outbox rows through this, so the format cannot drift</w:t>
            </w:r>
          </w:p>
        </w:tc>
      </w:tr>
      <w:tr>
        <w:trPr/>
        <w:tc>
          <w:tcPr>
            <w:tcW w:w="811" w:type="dxa"/>
            <w:tcBorders/>
            <w:vAlign w:val="center"/>
          </w:tcPr>
          <w:p>
            <w:pPr>
              <w:pStyle w:val="TableContents"/>
              <w:bidi w:val="0"/>
              <w:spacing w:before="0" w:after="283"/>
              <w:jc w:val="left"/>
              <w:rPr/>
            </w:pPr>
            <w:r>
              <w:rPr>
                <w:rStyle w:val="SourceText"/>
              </w:rPr>
              <w:t>identity</w:t>
            </w:r>
          </w:p>
        </w:tc>
        <w:tc>
          <w:tcPr>
            <w:tcW w:w="5093" w:type="dxa"/>
            <w:tcBorders/>
            <w:vAlign w:val="center"/>
          </w:tcPr>
          <w:p>
            <w:pPr>
              <w:pStyle w:val="TableContents"/>
              <w:bidi w:val="0"/>
              <w:spacing w:before="0" w:after="283"/>
              <w:jc w:val="left"/>
              <w:rPr/>
            </w:pPr>
            <w:r>
              <w:rPr/>
              <w:t xml:space="preserve">User, invitation, credential, </w:t>
            </w:r>
            <w:r>
              <w:rPr>
                <w:rStyle w:val="Strong"/>
              </w:rPr>
              <w:t>scope resolution</w:t>
            </w:r>
          </w:p>
        </w:tc>
        <w:tc>
          <w:tcPr>
            <w:tcW w:w="4415" w:type="dxa"/>
            <w:tcBorders/>
            <w:vAlign w:val="center"/>
          </w:tcPr>
          <w:p>
            <w:pPr>
              <w:pStyle w:val="TableContents"/>
              <w:bidi w:val="0"/>
              <w:spacing w:before="0" w:after="283"/>
              <w:jc w:val="left"/>
              <w:rPr/>
            </w:pPr>
            <w:r>
              <w:rPr>
                <w:rStyle w:val="SourceText"/>
              </w:rPr>
              <w:t>authenticate()</w:t>
            </w:r>
            <w:r>
              <w:rPr/>
              <w:t xml:space="preserve">, </w:t>
            </w:r>
            <w:r>
              <w:rPr>
                <w:rStyle w:val="SourceText"/>
              </w:rPr>
              <w:t>resolve_scope()</w:t>
            </w:r>
            <w:r>
              <w:rPr/>
              <w:t xml:space="preserve">, </w:t>
            </w:r>
            <w:r>
              <w:rPr>
                <w:rStyle w:val="SourceText"/>
              </w:rPr>
              <w:t>user_of(id)</w:t>
            </w:r>
          </w:p>
        </w:tc>
        <w:tc>
          <w:tcPr>
            <w:tcW w:w="6961" w:type="dxa"/>
            <w:tcBorders/>
            <w:vAlign w:val="center"/>
          </w:tcPr>
          <w:p>
            <w:pPr>
              <w:pStyle w:val="TableContents"/>
              <w:bidi w:val="0"/>
              <w:spacing w:before="0" w:after="283"/>
              <w:jc w:val="left"/>
              <w:rPr/>
            </w:pPr>
            <w:r>
              <w:rPr/>
              <w:t>Scope resolution lives here because every request needs it and it must have exactly one implementation (AUTH-001)</w:t>
            </w:r>
          </w:p>
        </w:tc>
      </w:tr>
    </w:tbl>
    <w:p>
      <w:pPr>
        <w:pStyle w:val="Heading3"/>
        <w:bidi w:val="0"/>
        <w:jc w:val="left"/>
        <w:rPr/>
      </w:pPr>
      <w:r>
        <w:rPr/>
        <w:t>4.2 Layer 1 — Organisational and capability</w:t>
      </w:r>
    </w:p>
    <w:tbl>
      <w:tblPr>
        <w:tblW w:w="17280" w:type="dxa"/>
        <w:jc w:val="left"/>
        <w:tblInd w:w="0" w:type="dxa"/>
        <w:tblLayout w:type="fixed"/>
        <w:tblCellMar>
          <w:top w:w="28" w:type="dxa"/>
          <w:left w:w="28" w:type="dxa"/>
          <w:bottom w:w="28" w:type="dxa"/>
          <w:right w:w="28" w:type="dxa"/>
        </w:tblCellMar>
      </w:tblPr>
      <w:tblGrid>
        <w:gridCol w:w="1141"/>
        <w:gridCol w:w="4290"/>
        <w:gridCol w:w="2876"/>
        <w:gridCol w:w="946"/>
        <w:gridCol w:w="8027"/>
      </w:tblGrid>
      <w:tr>
        <w:trPr>
          <w:tblHeader w:val="true"/>
        </w:trPr>
        <w:tc>
          <w:tcPr>
            <w:tcW w:w="1141" w:type="dxa"/>
            <w:tcBorders/>
            <w:vAlign w:val="center"/>
          </w:tcPr>
          <w:p>
            <w:pPr>
              <w:pStyle w:val="TableHeading"/>
              <w:suppressLineNumbers/>
              <w:shd w:fill="0D1B33" w:val="clear"/>
              <w:bidi w:val="0"/>
              <w:spacing w:before="0" w:after="283"/>
              <w:jc w:val="left"/>
              <w:rPr/>
            </w:pPr>
            <w:r>
              <w:rPr/>
              <w:t>Module</w:t>
            </w:r>
          </w:p>
        </w:tc>
        <w:tc>
          <w:tcPr>
            <w:tcW w:w="4290" w:type="dxa"/>
            <w:tcBorders/>
            <w:vAlign w:val="center"/>
          </w:tcPr>
          <w:p>
            <w:pPr>
              <w:pStyle w:val="TableHeading"/>
              <w:suppressLineNumbers/>
              <w:shd w:fill="0D1B33" w:val="clear"/>
              <w:bidi w:val="0"/>
              <w:spacing w:before="0" w:after="283"/>
              <w:jc w:val="left"/>
              <w:rPr/>
            </w:pPr>
            <w:r>
              <w:rPr/>
              <w:t>Owns</w:t>
            </w:r>
          </w:p>
        </w:tc>
        <w:tc>
          <w:tcPr>
            <w:tcW w:w="2876" w:type="dxa"/>
            <w:tcBorders/>
            <w:vAlign w:val="center"/>
          </w:tcPr>
          <w:p>
            <w:pPr>
              <w:pStyle w:val="TableHeading"/>
              <w:suppressLineNumbers/>
              <w:shd w:fill="0D1B33" w:val="clear"/>
              <w:bidi w:val="0"/>
              <w:spacing w:before="0" w:after="283"/>
              <w:jc w:val="left"/>
              <w:rPr/>
            </w:pPr>
            <w:r>
              <w:rPr/>
              <w:t>Publishes</w:t>
            </w:r>
          </w:p>
        </w:tc>
        <w:tc>
          <w:tcPr>
            <w:tcW w:w="946" w:type="dxa"/>
            <w:tcBorders/>
            <w:vAlign w:val="center"/>
          </w:tcPr>
          <w:p>
            <w:pPr>
              <w:pStyle w:val="TableHeading"/>
              <w:suppressLineNumbers/>
              <w:shd w:fill="0D1B33" w:val="clear"/>
              <w:bidi w:val="0"/>
              <w:spacing w:before="0" w:after="283"/>
              <w:jc w:val="left"/>
              <w:rPr/>
            </w:pPr>
            <w:r>
              <w:rPr/>
              <w:t>Consumes</w:t>
            </w:r>
          </w:p>
        </w:tc>
        <w:tc>
          <w:tcPr>
            <w:tcW w:w="8027" w:type="dxa"/>
            <w:tcBorders/>
            <w:vAlign w:val="center"/>
          </w:tcPr>
          <w:p>
            <w:pPr>
              <w:pStyle w:val="TableHeading"/>
              <w:suppressLineNumbers/>
              <w:shd w:fill="0D1B33" w:val="clear"/>
              <w:bidi w:val="0"/>
              <w:spacing w:before="0" w:after="283"/>
              <w:jc w:val="left"/>
              <w:rPr/>
            </w:pPr>
            <w:r>
              <w:rPr/>
              <w:t>Key rules</w:t>
            </w:r>
          </w:p>
        </w:tc>
      </w:tr>
      <w:tr>
        <w:trPr/>
        <w:tc>
          <w:tcPr>
            <w:tcW w:w="1141" w:type="dxa"/>
            <w:tcBorders/>
            <w:vAlign w:val="center"/>
          </w:tcPr>
          <w:p>
            <w:pPr>
              <w:pStyle w:val="TableContents"/>
              <w:bidi w:val="0"/>
              <w:spacing w:before="0" w:after="283"/>
              <w:jc w:val="left"/>
              <w:rPr/>
            </w:pPr>
            <w:r>
              <w:rPr>
                <w:rStyle w:val="SourceText"/>
              </w:rPr>
              <w:t>institutions</w:t>
            </w:r>
          </w:p>
        </w:tc>
        <w:tc>
          <w:tcPr>
            <w:tcW w:w="4290" w:type="dxa"/>
            <w:tcBorders/>
            <w:vAlign w:val="center"/>
          </w:tcPr>
          <w:p>
            <w:pPr>
              <w:pStyle w:val="TableContents"/>
              <w:bidi w:val="0"/>
              <w:spacing w:before="0" w:after="283"/>
              <w:jc w:val="left"/>
              <w:rPr/>
            </w:pPr>
            <w:r>
              <w:rPr/>
              <w:t>Institution, Cohort, student enrolment</w:t>
            </w:r>
          </w:p>
        </w:tc>
        <w:tc>
          <w:tcPr>
            <w:tcW w:w="2876" w:type="dxa"/>
            <w:tcBorders/>
            <w:vAlign w:val="center"/>
          </w:tcPr>
          <w:p>
            <w:pPr>
              <w:pStyle w:val="TableContents"/>
              <w:bidi w:val="0"/>
              <w:spacing w:before="0" w:after="283"/>
              <w:jc w:val="left"/>
              <w:rPr/>
            </w:pPr>
            <w:r>
              <w:rPr>
                <w:rStyle w:val="SourceText"/>
              </w:rPr>
              <w:t>CohortCreated</w:t>
            </w:r>
            <w:r>
              <w:rPr/>
              <w:t xml:space="preserve">, </w:t>
            </w:r>
            <w:r>
              <w:rPr>
                <w:rStyle w:val="SourceText"/>
              </w:rPr>
              <w:t>StudentEnrolled</w:t>
            </w:r>
          </w:p>
        </w:tc>
        <w:tc>
          <w:tcPr>
            <w:tcW w:w="946" w:type="dxa"/>
            <w:tcBorders/>
            <w:vAlign w:val="center"/>
          </w:tcPr>
          <w:p>
            <w:pPr>
              <w:pStyle w:val="TableContents"/>
              <w:bidi w:val="0"/>
              <w:spacing w:before="0" w:after="283"/>
              <w:jc w:val="left"/>
              <w:rPr/>
            </w:pPr>
            <w:r>
              <w:rPr/>
              <w:t>—</w:t>
            </w:r>
          </w:p>
        </w:tc>
        <w:tc>
          <w:tcPr>
            <w:tcW w:w="8027" w:type="dxa"/>
            <w:tcBorders/>
            <w:vAlign w:val="center"/>
          </w:tcPr>
          <w:p>
            <w:pPr>
              <w:pStyle w:val="TableContents"/>
              <w:bidi w:val="0"/>
              <w:spacing w:before="0" w:after="283"/>
              <w:jc w:val="left"/>
              <w:rPr/>
            </w:pPr>
            <w:r>
              <w:rPr/>
              <w:t xml:space="preserve">Cohort carries </w:t>
            </w:r>
            <w:r>
              <w:rPr>
                <w:rStyle w:val="SourceText"/>
              </w:rPr>
              <w:t>planned_capacity</w:t>
            </w:r>
            <w:r>
              <w:rPr/>
              <w:t xml:space="preserve"> as a target, never a constraint (POL-008)</w:t>
            </w:r>
          </w:p>
        </w:tc>
      </w:tr>
      <w:tr>
        <w:trPr/>
        <w:tc>
          <w:tcPr>
            <w:tcW w:w="1141" w:type="dxa"/>
            <w:tcBorders/>
            <w:vAlign w:val="center"/>
          </w:tcPr>
          <w:p>
            <w:pPr>
              <w:pStyle w:val="TableContents"/>
              <w:bidi w:val="0"/>
              <w:spacing w:before="0" w:after="283"/>
              <w:jc w:val="left"/>
              <w:rPr/>
            </w:pPr>
            <w:r>
              <w:rPr>
                <w:rStyle w:val="SourceText"/>
              </w:rPr>
              <w:t>facilities</w:t>
            </w:r>
          </w:p>
        </w:tc>
        <w:tc>
          <w:tcPr>
            <w:tcW w:w="4290" w:type="dxa"/>
            <w:tcBorders/>
            <w:vAlign w:val="center"/>
          </w:tcPr>
          <w:p>
            <w:pPr>
              <w:pStyle w:val="TableContents"/>
              <w:bidi w:val="0"/>
              <w:spacing w:before="0" w:after="283"/>
              <w:jc w:val="left"/>
              <w:rPr/>
            </w:pPr>
            <w:r>
              <w:rPr/>
              <w:t>Facility, Ward, ward capacity</w:t>
            </w:r>
          </w:p>
        </w:tc>
        <w:tc>
          <w:tcPr>
            <w:tcW w:w="2876" w:type="dxa"/>
            <w:tcBorders/>
            <w:vAlign w:val="center"/>
          </w:tcPr>
          <w:p>
            <w:pPr>
              <w:pStyle w:val="TableContents"/>
              <w:bidi w:val="0"/>
              <w:spacing w:before="0" w:after="283"/>
              <w:jc w:val="left"/>
              <w:rPr/>
            </w:pPr>
            <w:r>
              <w:rPr>
                <w:rStyle w:val="SourceText"/>
              </w:rPr>
              <w:t>WardCreated</w:t>
            </w:r>
            <w:r>
              <w:rPr/>
              <w:t xml:space="preserve">, </w:t>
            </w:r>
            <w:r>
              <w:rPr>
                <w:rStyle w:val="SourceText"/>
              </w:rPr>
              <w:t>CapacityChanged</w:t>
            </w:r>
          </w:p>
        </w:tc>
        <w:tc>
          <w:tcPr>
            <w:tcW w:w="946" w:type="dxa"/>
            <w:tcBorders/>
            <w:vAlign w:val="center"/>
          </w:tcPr>
          <w:p>
            <w:pPr>
              <w:pStyle w:val="TableContents"/>
              <w:bidi w:val="0"/>
              <w:spacing w:before="0" w:after="283"/>
              <w:jc w:val="left"/>
              <w:rPr/>
            </w:pPr>
            <w:r>
              <w:rPr/>
              <w:t>—</w:t>
            </w:r>
          </w:p>
        </w:tc>
        <w:tc>
          <w:tcPr>
            <w:tcW w:w="8027" w:type="dxa"/>
            <w:tcBorders/>
            <w:vAlign w:val="center"/>
          </w:tcPr>
          <w:p>
            <w:pPr>
              <w:pStyle w:val="TableContents"/>
              <w:bidi w:val="0"/>
              <w:spacing w:before="0" w:after="283"/>
              <w:jc w:val="left"/>
              <w:rPr/>
            </w:pPr>
            <w:r>
              <w:rPr/>
              <w:t xml:space="preserve">Exposes </w:t>
            </w:r>
            <w:r>
              <w:rPr>
                <w:rStyle w:val="SourceText"/>
              </w:rPr>
              <w:t>reserve_capacity()</w:t>
            </w:r>
            <w:r>
              <w:rPr/>
              <w:t xml:space="preserve"> under a row lock — the only path to INV-16</w:t>
            </w:r>
          </w:p>
        </w:tc>
      </w:tr>
      <w:tr>
        <w:trPr/>
        <w:tc>
          <w:tcPr>
            <w:tcW w:w="1141" w:type="dxa"/>
            <w:tcBorders/>
            <w:vAlign w:val="center"/>
          </w:tcPr>
          <w:p>
            <w:pPr>
              <w:pStyle w:val="TableContents"/>
              <w:bidi w:val="0"/>
              <w:spacing w:before="0" w:after="283"/>
              <w:jc w:val="left"/>
              <w:rPr/>
            </w:pPr>
            <w:r>
              <w:rPr>
                <w:rStyle w:val="SourceText"/>
              </w:rPr>
              <w:t>learning</w:t>
            </w:r>
          </w:p>
        </w:tc>
        <w:tc>
          <w:tcPr>
            <w:tcW w:w="4290" w:type="dxa"/>
            <w:tcBorders/>
            <w:vAlign w:val="center"/>
          </w:tcPr>
          <w:p>
            <w:pPr>
              <w:pStyle w:val="TableContents"/>
              <w:bidi w:val="0"/>
              <w:spacing w:before="0" w:after="283"/>
              <w:jc w:val="left"/>
              <w:rPr/>
            </w:pPr>
            <w:r>
              <w:rPr/>
              <w:t>Training Module, Lesson, Quiz, Module Completion</w:t>
            </w:r>
          </w:p>
        </w:tc>
        <w:tc>
          <w:tcPr>
            <w:tcW w:w="2876" w:type="dxa"/>
            <w:tcBorders/>
            <w:vAlign w:val="center"/>
          </w:tcPr>
          <w:p>
            <w:pPr>
              <w:pStyle w:val="TableContents"/>
              <w:bidi w:val="0"/>
              <w:spacing w:before="0" w:after="283"/>
              <w:jc w:val="left"/>
              <w:rPr/>
            </w:pPr>
            <w:r>
              <w:rPr>
                <w:rStyle w:val="SourceText"/>
              </w:rPr>
              <w:t>ModuleCompleted</w:t>
            </w:r>
          </w:p>
        </w:tc>
        <w:tc>
          <w:tcPr>
            <w:tcW w:w="946" w:type="dxa"/>
            <w:tcBorders/>
            <w:vAlign w:val="center"/>
          </w:tcPr>
          <w:p>
            <w:pPr>
              <w:pStyle w:val="TableContents"/>
              <w:bidi w:val="0"/>
              <w:spacing w:before="0" w:after="283"/>
              <w:jc w:val="left"/>
              <w:rPr/>
            </w:pPr>
            <w:r>
              <w:rPr/>
              <w:t>—</w:t>
            </w:r>
          </w:p>
        </w:tc>
        <w:tc>
          <w:tcPr>
            <w:tcW w:w="8027" w:type="dxa"/>
            <w:tcBorders/>
            <w:vAlign w:val="center"/>
          </w:tcPr>
          <w:p>
            <w:pPr>
              <w:pStyle w:val="TableContents"/>
              <w:bidi w:val="0"/>
              <w:spacing w:before="0" w:after="283"/>
              <w:jc w:val="left"/>
              <w:rPr/>
            </w:pPr>
            <w:r>
              <w:rPr/>
              <w:t xml:space="preserve">Exposes </w:t>
            </w:r>
            <w:r>
              <w:rPr>
                <w:rStyle w:val="SourceText"/>
              </w:rPr>
              <w:t>required_modules_complete(user)</w:t>
            </w:r>
            <w:r>
              <w:rPr/>
              <w:t xml:space="preserve"> for POL-009. Facility-independent by design (POL-010)</w:t>
            </w:r>
          </w:p>
        </w:tc>
      </w:tr>
      <w:tr>
        <w:trPr/>
        <w:tc>
          <w:tcPr>
            <w:tcW w:w="1141" w:type="dxa"/>
            <w:tcBorders/>
            <w:vAlign w:val="center"/>
          </w:tcPr>
          <w:p>
            <w:pPr>
              <w:pStyle w:val="TableContents"/>
              <w:bidi w:val="0"/>
              <w:spacing w:before="0" w:after="283"/>
              <w:jc w:val="left"/>
              <w:rPr/>
            </w:pPr>
            <w:r>
              <w:rPr>
                <w:rStyle w:val="SourceText"/>
              </w:rPr>
              <w:t>content</w:t>
            </w:r>
          </w:p>
        </w:tc>
        <w:tc>
          <w:tcPr>
            <w:tcW w:w="4290" w:type="dxa"/>
            <w:tcBorders/>
            <w:vAlign w:val="center"/>
          </w:tcPr>
          <w:p>
            <w:pPr>
              <w:pStyle w:val="TableContents"/>
              <w:bidi w:val="0"/>
              <w:spacing w:before="0" w:after="283"/>
              <w:jc w:val="left"/>
              <w:rPr/>
            </w:pPr>
            <w:r>
              <w:rPr/>
              <w:t>Content library items, role visibility</w:t>
            </w:r>
          </w:p>
        </w:tc>
        <w:tc>
          <w:tcPr>
            <w:tcW w:w="2876" w:type="dxa"/>
            <w:tcBorders/>
            <w:vAlign w:val="center"/>
          </w:tcPr>
          <w:p>
            <w:pPr>
              <w:pStyle w:val="TableContents"/>
              <w:bidi w:val="0"/>
              <w:spacing w:before="0" w:after="283"/>
              <w:jc w:val="left"/>
              <w:rPr/>
            </w:pPr>
            <w:r>
              <w:rPr/>
              <w:t>—</w:t>
            </w:r>
          </w:p>
        </w:tc>
        <w:tc>
          <w:tcPr>
            <w:tcW w:w="946" w:type="dxa"/>
            <w:tcBorders/>
            <w:vAlign w:val="center"/>
          </w:tcPr>
          <w:p>
            <w:pPr>
              <w:pStyle w:val="TableContents"/>
              <w:bidi w:val="0"/>
              <w:spacing w:before="0" w:after="283"/>
              <w:jc w:val="left"/>
              <w:rPr/>
            </w:pPr>
            <w:r>
              <w:rPr/>
              <w:t>—</w:t>
            </w:r>
          </w:p>
        </w:tc>
        <w:tc>
          <w:tcPr>
            <w:tcW w:w="8027" w:type="dxa"/>
            <w:tcBorders/>
            <w:vAlign w:val="center"/>
          </w:tcPr>
          <w:p>
            <w:pPr>
              <w:pStyle w:val="TableContents"/>
              <w:bidi w:val="0"/>
              <w:spacing w:before="0" w:after="283"/>
              <w:jc w:val="left"/>
              <w:rPr/>
            </w:pPr>
            <w:r>
              <w:rPr/>
              <w:t>Files and guides. Deliberately dull</w:t>
            </w:r>
          </w:p>
        </w:tc>
      </w:tr>
    </w:tbl>
    <w:p>
      <w:pPr>
        <w:pStyle w:val="Heading3"/>
        <w:bidi w:val="0"/>
        <w:jc w:val="left"/>
        <w:rPr/>
      </w:pPr>
      <w:r>
        <w:rPr/>
        <w:t>4.3 Layer 2 — Core domain</w:t>
      </w:r>
    </w:p>
    <w:tbl>
      <w:tblPr>
        <w:tblW w:w="17280" w:type="dxa"/>
        <w:jc w:val="left"/>
        <w:tblInd w:w="0" w:type="dxa"/>
        <w:tblLayout w:type="fixed"/>
        <w:tblCellMar>
          <w:top w:w="28" w:type="dxa"/>
          <w:left w:w="28" w:type="dxa"/>
          <w:bottom w:w="28" w:type="dxa"/>
          <w:right w:w="28" w:type="dxa"/>
        </w:tblCellMar>
      </w:tblPr>
      <w:tblGrid>
        <w:gridCol w:w="1171"/>
        <w:gridCol w:w="6838"/>
        <w:gridCol w:w="8279"/>
        <w:gridCol w:w="992"/>
      </w:tblGrid>
      <w:tr>
        <w:trPr>
          <w:tblHeader w:val="true"/>
        </w:trPr>
        <w:tc>
          <w:tcPr>
            <w:tcW w:w="1171" w:type="dxa"/>
            <w:tcBorders/>
            <w:vAlign w:val="center"/>
          </w:tcPr>
          <w:p>
            <w:pPr>
              <w:pStyle w:val="TableHeading"/>
              <w:suppressLineNumbers/>
              <w:shd w:fill="0D1B33" w:val="clear"/>
              <w:bidi w:val="0"/>
              <w:spacing w:before="0" w:after="283"/>
              <w:jc w:val="left"/>
              <w:rPr/>
            </w:pPr>
            <w:r>
              <w:rPr/>
              <w:t>Module</w:t>
            </w:r>
          </w:p>
        </w:tc>
        <w:tc>
          <w:tcPr>
            <w:tcW w:w="6838" w:type="dxa"/>
            <w:tcBorders/>
            <w:vAlign w:val="center"/>
          </w:tcPr>
          <w:p>
            <w:pPr>
              <w:pStyle w:val="TableHeading"/>
              <w:suppressLineNumbers/>
              <w:shd w:fill="0D1B33" w:val="clear"/>
              <w:bidi w:val="0"/>
              <w:spacing w:before="0" w:after="283"/>
              <w:jc w:val="left"/>
              <w:rPr/>
            </w:pPr>
            <w:r>
              <w:rPr/>
              <w:t>Owns</w:t>
            </w:r>
          </w:p>
        </w:tc>
        <w:tc>
          <w:tcPr>
            <w:tcW w:w="8279" w:type="dxa"/>
            <w:tcBorders/>
            <w:vAlign w:val="center"/>
          </w:tcPr>
          <w:p>
            <w:pPr>
              <w:pStyle w:val="TableHeading"/>
              <w:suppressLineNumbers/>
              <w:shd w:fill="0D1B33" w:val="clear"/>
              <w:bidi w:val="0"/>
              <w:spacing w:before="0" w:after="283"/>
              <w:jc w:val="left"/>
              <w:rPr/>
            </w:pPr>
            <w:r>
              <w:rPr/>
              <w:t>Publishes</w:t>
            </w:r>
          </w:p>
        </w:tc>
        <w:tc>
          <w:tcPr>
            <w:tcW w:w="992" w:type="dxa"/>
            <w:tcBorders/>
            <w:vAlign w:val="center"/>
          </w:tcPr>
          <w:p>
            <w:pPr>
              <w:pStyle w:val="TableHeading"/>
              <w:suppressLineNumbers/>
              <w:shd w:fill="0D1B33" w:val="clear"/>
              <w:bidi w:val="0"/>
              <w:spacing w:before="0" w:after="283"/>
              <w:jc w:val="left"/>
              <w:rPr/>
            </w:pPr>
            <w:r>
              <w:rPr/>
              <w:t>Consumes</w:t>
            </w:r>
          </w:p>
        </w:tc>
      </w:tr>
      <w:tr>
        <w:trPr/>
        <w:tc>
          <w:tcPr>
            <w:tcW w:w="1171" w:type="dxa"/>
            <w:tcBorders/>
            <w:vAlign w:val="center"/>
          </w:tcPr>
          <w:p>
            <w:pPr>
              <w:pStyle w:val="TableContents"/>
              <w:bidi w:val="0"/>
              <w:spacing w:before="0" w:after="283"/>
              <w:jc w:val="left"/>
              <w:rPr/>
            </w:pPr>
            <w:r>
              <w:rPr>
                <w:rStyle w:val="SourceText"/>
              </w:rPr>
              <w:t>placements</w:t>
            </w:r>
          </w:p>
        </w:tc>
        <w:tc>
          <w:tcPr>
            <w:tcW w:w="6838" w:type="dxa"/>
            <w:tcBorders/>
            <w:vAlign w:val="center"/>
          </w:tcPr>
          <w:p>
            <w:pPr>
              <w:pStyle w:val="TableContents"/>
              <w:bidi w:val="0"/>
              <w:spacing w:before="0" w:after="283"/>
              <w:jc w:val="left"/>
              <w:rPr/>
            </w:pPr>
            <w:r>
              <w:rPr>
                <w:rStyle w:val="Strong"/>
              </w:rPr>
              <w:t>Placement</w:t>
            </w:r>
            <w:r>
              <w:rPr/>
              <w:t xml:space="preserve"> (planned and actual date pairs, POL-020), Student Assignment, Mentor Assignment, Ward Assignment, </w:t>
            </w:r>
            <w:r>
              <w:rPr>
                <w:rStyle w:val="Strong"/>
              </w:rPr>
              <w:t>Pause Interval</w:t>
            </w:r>
            <w:r>
              <w:rPr/>
              <w:t xml:space="preserve"> (interruption date, resumption date, controlled-vocabulary reason per POL-021), the state machine and its transition table</w:t>
            </w:r>
          </w:p>
        </w:tc>
        <w:tc>
          <w:tcPr>
            <w:tcW w:w="8279" w:type="dxa"/>
            <w:tcBorders/>
            <w:vAlign w:val="center"/>
          </w:tcPr>
          <w:p>
            <w:pPr>
              <w:pStyle w:val="TableContents"/>
              <w:bidi w:val="0"/>
              <w:spacing w:before="0" w:after="283"/>
              <w:jc w:val="left"/>
              <w:rPr/>
            </w:pPr>
            <w:r>
              <w:rPr>
                <w:rStyle w:val="SourceText"/>
              </w:rPr>
              <w:t>PlacementCreated</w:t>
            </w:r>
            <w:r>
              <w:rPr/>
              <w:t xml:space="preserve">, </w:t>
            </w:r>
            <w:r>
              <w:rPr>
                <w:rStyle w:val="SourceText"/>
              </w:rPr>
              <w:t>WardAllocated</w:t>
            </w:r>
            <w:r>
              <w:rPr/>
              <w:t xml:space="preserve">, </w:t>
            </w:r>
            <w:r>
              <w:rPr>
                <w:rStyle w:val="SourceText"/>
              </w:rPr>
              <w:t>PlacementScheduled</w:t>
            </w:r>
            <w:r>
              <w:rPr/>
              <w:t xml:space="preserve">, </w:t>
            </w:r>
            <w:r>
              <w:rPr>
                <w:rStyle w:val="SourceText"/>
              </w:rPr>
              <w:t>PlacementInvitationIssued</w:t>
            </w:r>
            <w:r>
              <w:rPr/>
              <w:t xml:space="preserve">, </w:t>
            </w:r>
            <w:r>
              <w:rPr>
                <w:rStyle w:val="SourceText"/>
              </w:rPr>
              <w:t>PlacementConfirmed</w:t>
            </w:r>
            <w:r>
              <w:rPr/>
              <w:t xml:space="preserve">, </w:t>
            </w:r>
            <w:r>
              <w:rPr>
                <w:rStyle w:val="SourceText"/>
              </w:rPr>
              <w:t>MentorAssigned</w:t>
            </w:r>
            <w:r>
              <w:rPr/>
              <w:t xml:space="preserve">, </w:t>
            </w:r>
            <w:r>
              <w:rPr>
                <w:rStyle w:val="SourceText"/>
              </w:rPr>
              <w:t>MentorReassigned</w:t>
            </w:r>
            <w:r>
              <w:rPr/>
              <w:t xml:space="preserve">, </w:t>
            </w:r>
            <w:r>
              <w:rPr>
                <w:rStyle w:val="SourceText"/>
              </w:rPr>
              <w:t>PlacementActivated</w:t>
            </w:r>
            <w:r>
              <w:rPr/>
              <w:t xml:space="preserve">, </w:t>
            </w:r>
            <w:r>
              <w:rPr>
                <w:rStyle w:val="SourceText"/>
              </w:rPr>
              <w:t>PlacementPaused</w:t>
            </w:r>
            <w:r>
              <w:rPr/>
              <w:t xml:space="preserve">, </w:t>
            </w:r>
            <w:r>
              <w:rPr>
                <w:rStyle w:val="SourceText"/>
              </w:rPr>
              <w:t>PlacementResumed</w:t>
            </w:r>
            <w:r>
              <w:rPr/>
              <w:t xml:space="preserve">, </w:t>
            </w:r>
            <w:r>
              <w:rPr>
                <w:rStyle w:val="SourceText"/>
              </w:rPr>
              <w:t>PlacementCompleted</w:t>
            </w:r>
            <w:r>
              <w:rPr/>
              <w:t xml:space="preserve">, </w:t>
            </w:r>
            <w:r>
              <w:rPr>
                <w:rStyle w:val="SourceText"/>
              </w:rPr>
              <w:t>PlacementWithdrawn</w:t>
            </w:r>
            <w:r>
              <w:rPr/>
              <w:t xml:space="preserve">, </w:t>
            </w:r>
            <w:r>
              <w:rPr>
                <w:rStyle w:val="SourceText"/>
              </w:rPr>
              <w:t>PlacementArchived</w:t>
            </w:r>
          </w:p>
        </w:tc>
        <w:tc>
          <w:tcPr>
            <w:tcW w:w="992" w:type="dxa"/>
            <w:tcBorders/>
            <w:vAlign w:val="center"/>
          </w:tcPr>
          <w:p>
            <w:pPr>
              <w:pStyle w:val="TableContents"/>
              <w:bidi w:val="0"/>
              <w:spacing w:before="0" w:after="283"/>
              <w:jc w:val="left"/>
              <w:rPr/>
            </w:pPr>
            <w:r>
              <w:rPr/>
              <w:t>—</w:t>
            </w:r>
          </w:p>
        </w:tc>
      </w:tr>
    </w:tbl>
    <w:p>
      <w:pPr>
        <w:pStyle w:val="BodyText"/>
        <w:bidi w:val="0"/>
        <w:jc w:val="left"/>
        <w:rPr/>
      </w:pPr>
      <w:r>
        <w:rPr>
          <w:rStyle w:val="SourceText"/>
        </w:rPr>
        <w:t>placements</w:t>
      </w:r>
      <w:r>
        <w:rPr/>
        <w:t xml:space="preserve"> is the only module permitted to change placement state. Everything else </w:t>
      </w:r>
      <w:r>
        <w:rPr>
          <w:rStyle w:val="Strong"/>
        </w:rPr>
        <w:t>requests</w:t>
      </w:r>
      <w:r>
        <w:rPr/>
        <w:t xml:space="preserve"> a transition through its interface, which evaluates the guard under a row lock (WFR-028).</w:t>
      </w:r>
    </w:p>
    <w:p>
      <w:pPr>
        <w:pStyle w:val="PreformattedTextcode"/>
        <w:bidi w:val="0"/>
        <w:jc w:val="left"/>
        <w:rPr/>
      </w:pPr>
      <w:r>
        <w:rPr>
          <w:rStyle w:val="SourceText"/>
        </w:rPr>
        <w:t># placements/api.py — the surface every other module sees</w:t>
      </w:r>
    </w:p>
    <w:p>
      <w:pPr>
        <w:pStyle w:val="PreformattedTextcode"/>
        <w:bidi w:val="0"/>
        <w:jc w:val="left"/>
        <w:rPr/>
      </w:pPr>
      <w:r>
        <w:rPr>
          <w:rStyle w:val="SourceText"/>
        </w:rPr>
        <w:t>def request_transition(placement_id, transition, actor, reason=None) -&gt; Placement</w:t>
      </w:r>
    </w:p>
    <w:p>
      <w:pPr>
        <w:pStyle w:val="PreformattedTextcode"/>
        <w:bidi w:val="0"/>
        <w:jc w:val="left"/>
        <w:rPr/>
      </w:pPr>
      <w:r>
        <w:rPr>
          <w:rStyle w:val="SourceText"/>
        </w:rPr>
        <w:t>def active_mentor_assignment(placement_id) -&gt; MentorAssignment | None</w:t>
      </w:r>
    </w:p>
    <w:p>
      <w:pPr>
        <w:pStyle w:val="PreformattedTextcode"/>
        <w:bidi w:val="0"/>
        <w:jc w:val="left"/>
        <w:rPr/>
      </w:pPr>
      <w:r>
        <w:rPr>
          <w:rStyle w:val="SourceText"/>
        </w:rPr>
        <w:t>def placement_window(placement_id) -&gt; PlacementPeriod          # for INV-04</w:t>
      </w:r>
    </w:p>
    <w:p>
      <w:pPr>
        <w:pStyle w:val="PreformattedTextcode"/>
        <w:bidi w:val="0"/>
        <w:jc w:val="left"/>
        <w:rPr/>
      </w:pPr>
      <w:r>
        <w:rPr>
          <w:rStyle w:val="SourceText"/>
        </w:rPr>
        <w:t>def is_active(placement_id) -&gt; bool                            # for INV-05</w:t>
      </w:r>
    </w:p>
    <w:p>
      <w:pPr>
        <w:pStyle w:val="PreformattedTextcode"/>
        <w:bidi w:val="0"/>
        <w:spacing w:before="0" w:after="283"/>
        <w:jc w:val="left"/>
        <w:rPr/>
      </w:pPr>
      <w:r>
        <w:rPr>
          <w:rStyle w:val="SourceText"/>
        </w:rPr>
        <w:t>def register_completion_blocker(blocker: CompletionBlocker)     # see §8.2</w:t>
      </w:r>
    </w:p>
    <w:p>
      <w:pPr>
        <w:pStyle w:val="BodyText"/>
        <w:bidi w:val="0"/>
        <w:jc w:val="left"/>
        <w:rPr/>
      </w:pPr>
      <w:r>
        <w:rPr/>
        <w:t xml:space="preserve">Note what is </w:t>
      </w:r>
      <w:r>
        <w:rPr>
          <w:rStyle w:val="Strong"/>
        </w:rPr>
        <w:t>not</w:t>
      </w:r>
      <w:r>
        <w:rPr/>
        <w:t xml:space="preserve"> in that list: no </w:t>
      </w:r>
      <w:r>
        <w:rPr>
          <w:rStyle w:val="SourceText"/>
        </w:rPr>
        <w:t>set_state()</w:t>
      </w:r>
      <w:r>
        <w:rPr/>
        <w:t xml:space="preserve">, no </w:t>
      </w:r>
      <w:r>
        <w:rPr>
          <w:rStyle w:val="SourceText"/>
        </w:rPr>
        <w:t>save()</w:t>
      </w:r>
      <w:r>
        <w:rPr/>
        <w:t>, no model access. A module that cannot reach in cannot corrupt the state machine.</w:t>
      </w:r>
    </w:p>
    <w:p>
      <w:pPr>
        <w:pStyle w:val="Heading3"/>
        <w:bidi w:val="0"/>
        <w:jc w:val="left"/>
        <w:rPr/>
      </w:pPr>
      <w:r>
        <w:rPr/>
        <w:t>4.4 Layer 3 — Placement-bound children</w:t>
      </w:r>
    </w:p>
    <w:tbl>
      <w:tblPr>
        <w:tblW w:w="17280" w:type="dxa"/>
        <w:jc w:val="left"/>
        <w:tblInd w:w="0" w:type="dxa"/>
        <w:tblLayout w:type="fixed"/>
        <w:tblCellMar>
          <w:top w:w="28" w:type="dxa"/>
          <w:left w:w="28" w:type="dxa"/>
          <w:bottom w:w="28" w:type="dxa"/>
          <w:right w:w="28" w:type="dxa"/>
        </w:tblCellMar>
      </w:tblPr>
      <w:tblGrid>
        <w:gridCol w:w="1336"/>
        <w:gridCol w:w="2484"/>
        <w:gridCol w:w="3851"/>
        <w:gridCol w:w="4029"/>
        <w:gridCol w:w="5580"/>
      </w:tblGrid>
      <w:tr>
        <w:trPr>
          <w:tblHeader w:val="true"/>
        </w:trPr>
        <w:tc>
          <w:tcPr>
            <w:tcW w:w="1336" w:type="dxa"/>
            <w:tcBorders/>
            <w:vAlign w:val="center"/>
          </w:tcPr>
          <w:p>
            <w:pPr>
              <w:pStyle w:val="TableHeading"/>
              <w:suppressLineNumbers/>
              <w:shd w:fill="0D1B33" w:val="clear"/>
              <w:bidi w:val="0"/>
              <w:spacing w:before="0" w:after="283"/>
              <w:jc w:val="left"/>
              <w:rPr/>
            </w:pPr>
            <w:r>
              <w:rPr/>
              <w:t>Module</w:t>
            </w:r>
          </w:p>
        </w:tc>
        <w:tc>
          <w:tcPr>
            <w:tcW w:w="2484" w:type="dxa"/>
            <w:tcBorders/>
            <w:vAlign w:val="center"/>
          </w:tcPr>
          <w:p>
            <w:pPr>
              <w:pStyle w:val="TableHeading"/>
              <w:suppressLineNumbers/>
              <w:shd w:fill="0D1B33" w:val="clear"/>
              <w:bidi w:val="0"/>
              <w:spacing w:before="0" w:after="283"/>
              <w:jc w:val="left"/>
              <w:rPr/>
            </w:pPr>
            <w:r>
              <w:rPr/>
              <w:t>Owns</w:t>
            </w:r>
          </w:p>
        </w:tc>
        <w:tc>
          <w:tcPr>
            <w:tcW w:w="3851" w:type="dxa"/>
            <w:tcBorders/>
            <w:vAlign w:val="center"/>
          </w:tcPr>
          <w:p>
            <w:pPr>
              <w:pStyle w:val="TableHeading"/>
              <w:suppressLineNumbers/>
              <w:shd w:fill="0D1B33" w:val="clear"/>
              <w:bidi w:val="0"/>
              <w:spacing w:before="0" w:after="283"/>
              <w:jc w:val="left"/>
              <w:rPr/>
            </w:pPr>
            <w:r>
              <w:rPr/>
              <w:t>Publishes</w:t>
            </w:r>
          </w:p>
        </w:tc>
        <w:tc>
          <w:tcPr>
            <w:tcW w:w="4029" w:type="dxa"/>
            <w:tcBorders/>
            <w:vAlign w:val="center"/>
          </w:tcPr>
          <w:p>
            <w:pPr>
              <w:pStyle w:val="TableHeading"/>
              <w:suppressLineNumbers/>
              <w:shd w:fill="0D1B33" w:val="clear"/>
              <w:bidi w:val="0"/>
              <w:spacing w:before="0" w:after="283"/>
              <w:jc w:val="left"/>
              <w:rPr/>
            </w:pPr>
            <w:r>
              <w:rPr/>
              <w:t>Calls downward into</w:t>
            </w:r>
          </w:p>
        </w:tc>
        <w:tc>
          <w:tcPr>
            <w:tcW w:w="5580" w:type="dxa"/>
            <w:tcBorders/>
            <w:vAlign w:val="center"/>
          </w:tcPr>
          <w:p>
            <w:pPr>
              <w:pStyle w:val="TableHeading"/>
              <w:suppressLineNumbers/>
              <w:shd w:fill="0D1B33" w:val="clear"/>
              <w:bidi w:val="0"/>
              <w:spacing w:before="0" w:after="283"/>
              <w:jc w:val="left"/>
              <w:rPr/>
            </w:pPr>
            <w:r>
              <w:rPr/>
              <w:t>Key rules</w:t>
            </w:r>
          </w:p>
        </w:tc>
      </w:tr>
      <w:tr>
        <w:trPr/>
        <w:tc>
          <w:tcPr>
            <w:tcW w:w="1336" w:type="dxa"/>
            <w:tcBorders/>
            <w:vAlign w:val="center"/>
          </w:tcPr>
          <w:p>
            <w:pPr>
              <w:pStyle w:val="TableContents"/>
              <w:bidi w:val="0"/>
              <w:spacing w:before="0" w:after="283"/>
              <w:jc w:val="left"/>
              <w:rPr/>
            </w:pPr>
            <w:r>
              <w:rPr>
                <w:rStyle w:val="SourceText"/>
              </w:rPr>
              <w:t>induction</w:t>
            </w:r>
          </w:p>
        </w:tc>
        <w:tc>
          <w:tcPr>
            <w:tcW w:w="2484" w:type="dxa"/>
            <w:tcBorders/>
            <w:vAlign w:val="center"/>
          </w:tcPr>
          <w:p>
            <w:pPr>
              <w:pStyle w:val="TableContents"/>
              <w:bidi w:val="0"/>
              <w:spacing w:before="0" w:after="283"/>
              <w:jc w:val="left"/>
              <w:rPr/>
            </w:pPr>
            <w:r>
              <w:rPr/>
              <w:t>Checklist templates (versioned), Checklists, Items</w:t>
            </w:r>
          </w:p>
        </w:tc>
        <w:tc>
          <w:tcPr>
            <w:tcW w:w="3851" w:type="dxa"/>
            <w:tcBorders/>
            <w:vAlign w:val="center"/>
          </w:tcPr>
          <w:p>
            <w:pPr>
              <w:pStyle w:val="TableContents"/>
              <w:bidi w:val="0"/>
              <w:spacing w:before="0" w:after="283"/>
              <w:jc w:val="left"/>
              <w:rPr/>
            </w:pPr>
            <w:r>
              <w:rPr>
                <w:rStyle w:val="SourceText"/>
              </w:rPr>
              <w:t>InductionOpened</w:t>
            </w:r>
            <w:r>
              <w:rPr/>
              <w:t xml:space="preserve">, </w:t>
            </w:r>
            <w:r>
              <w:rPr>
                <w:rStyle w:val="SourceText"/>
              </w:rPr>
              <w:t>ChecklistItemCompleted</w:t>
            </w:r>
            <w:r>
              <w:rPr/>
              <w:t xml:space="preserve">, </w:t>
            </w:r>
            <w:r>
              <w:rPr>
                <w:rStyle w:val="SourceText"/>
              </w:rPr>
              <w:t>InductionCompleted</w:t>
            </w:r>
          </w:p>
        </w:tc>
        <w:tc>
          <w:tcPr>
            <w:tcW w:w="4029" w:type="dxa"/>
            <w:tcBorders/>
            <w:vAlign w:val="center"/>
          </w:tcPr>
          <w:p>
            <w:pPr>
              <w:pStyle w:val="TableContents"/>
              <w:bidi w:val="0"/>
              <w:spacing w:before="0" w:after="283"/>
              <w:jc w:val="left"/>
              <w:rPr/>
            </w:pPr>
            <w:r>
              <w:rPr>
                <w:rStyle w:val="SourceText"/>
              </w:rPr>
              <w:t>placements.request_transition(... ACTIVATE)</w:t>
            </w:r>
            <w:r>
              <w:rPr/>
              <w:t xml:space="preserve"> — the TX-03 case (§8.1)</w:t>
            </w:r>
          </w:p>
        </w:tc>
        <w:tc>
          <w:tcPr>
            <w:tcW w:w="5580" w:type="dxa"/>
            <w:tcBorders/>
            <w:vAlign w:val="center"/>
          </w:tcPr>
          <w:p>
            <w:pPr>
              <w:pStyle w:val="TableContents"/>
              <w:bidi w:val="0"/>
              <w:spacing w:before="0" w:after="283"/>
              <w:jc w:val="left"/>
              <w:rPr/>
            </w:pPr>
            <w:r>
              <w:rPr/>
              <w:t xml:space="preserve">Items writable only in state </w:t>
            </w:r>
            <w:r>
              <w:rPr>
                <w:rStyle w:val="SourceText"/>
              </w:rPr>
              <w:t>Induction</w:t>
            </w:r>
            <w:r>
              <w:rPr/>
              <w:t xml:space="preserve"> (INV-06). Templates versioned so a live checklist never mutates</w:t>
            </w:r>
          </w:p>
        </w:tc>
      </w:tr>
      <w:tr>
        <w:trPr/>
        <w:tc>
          <w:tcPr>
            <w:tcW w:w="1336" w:type="dxa"/>
            <w:tcBorders/>
            <w:vAlign w:val="center"/>
          </w:tcPr>
          <w:p>
            <w:pPr>
              <w:pStyle w:val="TableContents"/>
              <w:bidi w:val="0"/>
              <w:spacing w:before="0" w:after="283"/>
              <w:jc w:val="left"/>
              <w:rPr/>
            </w:pPr>
            <w:r>
              <w:rPr>
                <w:rStyle w:val="SourceText"/>
              </w:rPr>
              <w:t>mentorship</w:t>
            </w:r>
          </w:p>
        </w:tc>
        <w:tc>
          <w:tcPr>
            <w:tcW w:w="2484" w:type="dxa"/>
            <w:tcBorders/>
            <w:vAlign w:val="center"/>
          </w:tcPr>
          <w:p>
            <w:pPr>
              <w:pStyle w:val="TableContents"/>
              <w:bidi w:val="0"/>
              <w:spacing w:before="0" w:after="283"/>
              <w:jc w:val="left"/>
              <w:rPr/>
            </w:pPr>
            <w:r>
              <w:rPr/>
              <w:t>Mentorship Session, follow-ups, session revisions</w:t>
            </w:r>
          </w:p>
        </w:tc>
        <w:tc>
          <w:tcPr>
            <w:tcW w:w="3851" w:type="dxa"/>
            <w:tcBorders/>
            <w:vAlign w:val="center"/>
          </w:tcPr>
          <w:p>
            <w:pPr>
              <w:pStyle w:val="TableContents"/>
              <w:bidi w:val="0"/>
              <w:spacing w:before="0" w:after="283"/>
              <w:jc w:val="left"/>
              <w:rPr/>
            </w:pPr>
            <w:r>
              <w:rPr>
                <w:rStyle w:val="SourceText"/>
              </w:rPr>
              <w:t>SessionLogged</w:t>
            </w:r>
            <w:r>
              <w:rPr/>
              <w:t xml:space="preserve">, </w:t>
            </w:r>
            <w:r>
              <w:rPr>
                <w:rStyle w:val="SourceText"/>
              </w:rPr>
              <w:t>SessionCorrected</w:t>
            </w:r>
          </w:p>
        </w:tc>
        <w:tc>
          <w:tcPr>
            <w:tcW w:w="4029" w:type="dxa"/>
            <w:tcBorders/>
            <w:vAlign w:val="center"/>
          </w:tcPr>
          <w:p>
            <w:pPr>
              <w:pStyle w:val="TableContents"/>
              <w:bidi w:val="0"/>
              <w:spacing w:before="0" w:after="283"/>
              <w:jc w:val="left"/>
              <w:rPr/>
            </w:pPr>
            <w:r>
              <w:rPr>
                <w:rStyle w:val="SourceText"/>
              </w:rPr>
              <w:t>placements.is_active()</w:t>
            </w:r>
            <w:r>
              <w:rPr/>
              <w:t xml:space="preserve">, </w:t>
            </w:r>
            <w:r>
              <w:rPr>
                <w:rStyle w:val="SourceText"/>
              </w:rPr>
              <w:t>placements.placement_window()</w:t>
            </w:r>
            <w:r>
              <w:rPr/>
              <w:t xml:space="preserve">, </w:t>
            </w:r>
            <w:r>
              <w:rPr>
                <w:rStyle w:val="SourceText"/>
              </w:rPr>
              <w:t>placements.active_mentor_assignment()</w:t>
            </w:r>
          </w:p>
        </w:tc>
        <w:tc>
          <w:tcPr>
            <w:tcW w:w="5580" w:type="dxa"/>
            <w:tcBorders/>
            <w:vAlign w:val="center"/>
          </w:tcPr>
          <w:p>
            <w:pPr>
              <w:pStyle w:val="TableContents"/>
              <w:bidi w:val="0"/>
              <w:spacing w:before="0" w:after="283"/>
              <w:jc w:val="left"/>
              <w:rPr/>
            </w:pPr>
            <w:r>
              <w:rPr/>
              <w:t>Sessions belong to the placement (INV-03); Active-only (INV-05); 5-minute duplicate window (WFR-014)</w:t>
            </w:r>
          </w:p>
        </w:tc>
      </w:tr>
      <w:tr>
        <w:trPr/>
        <w:tc>
          <w:tcPr>
            <w:tcW w:w="1336" w:type="dxa"/>
            <w:tcBorders/>
            <w:vAlign w:val="center"/>
          </w:tcPr>
          <w:p>
            <w:pPr>
              <w:pStyle w:val="TableContents"/>
              <w:bidi w:val="0"/>
              <w:spacing w:before="0" w:after="283"/>
              <w:jc w:val="left"/>
              <w:rPr/>
            </w:pPr>
            <w:r>
              <w:rPr>
                <w:rStyle w:val="SourceText"/>
              </w:rPr>
              <w:t>assessments</w:t>
            </w:r>
          </w:p>
        </w:tc>
        <w:tc>
          <w:tcPr>
            <w:tcW w:w="2484" w:type="dxa"/>
            <w:tcBorders/>
            <w:vAlign w:val="center"/>
          </w:tcPr>
          <w:p>
            <w:pPr>
              <w:pStyle w:val="TableContents"/>
              <w:bidi w:val="0"/>
              <w:spacing w:before="0" w:after="283"/>
              <w:jc w:val="left"/>
              <w:rPr/>
            </w:pPr>
            <w:r>
              <w:rPr/>
              <w:t>Feedback, baseline and endline confidence, evaluations, revisions</w:t>
            </w:r>
          </w:p>
        </w:tc>
        <w:tc>
          <w:tcPr>
            <w:tcW w:w="3851" w:type="dxa"/>
            <w:tcBorders/>
            <w:vAlign w:val="center"/>
          </w:tcPr>
          <w:p>
            <w:pPr>
              <w:pStyle w:val="TableContents"/>
              <w:bidi w:val="0"/>
              <w:spacing w:before="0" w:after="283"/>
              <w:jc w:val="left"/>
              <w:rPr/>
            </w:pPr>
            <w:r>
              <w:rPr>
                <w:rStyle w:val="SourceText"/>
              </w:rPr>
              <w:t>FeedbackSubmitted</w:t>
            </w:r>
            <w:r>
              <w:rPr/>
              <w:t xml:space="preserve">, </w:t>
            </w:r>
            <w:r>
              <w:rPr>
                <w:rStyle w:val="SourceText"/>
              </w:rPr>
              <w:t>BaselineSubmitted</w:t>
            </w:r>
            <w:r>
              <w:rPr/>
              <w:t xml:space="preserve">, </w:t>
            </w:r>
            <w:r>
              <w:rPr>
                <w:rStyle w:val="SourceText"/>
              </w:rPr>
              <w:t>FinalAssessmentSubmitted</w:t>
            </w:r>
          </w:p>
        </w:tc>
        <w:tc>
          <w:tcPr>
            <w:tcW w:w="4029" w:type="dxa"/>
            <w:tcBorders/>
            <w:vAlign w:val="center"/>
          </w:tcPr>
          <w:p>
            <w:pPr>
              <w:pStyle w:val="TableContents"/>
              <w:bidi w:val="0"/>
              <w:spacing w:before="0" w:after="283"/>
              <w:jc w:val="left"/>
              <w:rPr/>
            </w:pPr>
            <w:r>
              <w:rPr>
                <w:rStyle w:val="SourceText"/>
              </w:rPr>
              <w:t>placements</w:t>
            </w:r>
            <w:r>
              <w:rPr/>
              <w:t xml:space="preserve"> state queries</w:t>
            </w:r>
          </w:p>
        </w:tc>
        <w:tc>
          <w:tcPr>
            <w:tcW w:w="5580" w:type="dxa"/>
            <w:tcBorders/>
            <w:vAlign w:val="center"/>
          </w:tcPr>
          <w:p>
            <w:pPr>
              <w:pStyle w:val="TableContents"/>
              <w:bidi w:val="0"/>
              <w:spacing w:before="0" w:after="283"/>
              <w:jc w:val="left"/>
              <w:rPr/>
            </w:pPr>
            <w:r>
              <w:rPr/>
              <w:t xml:space="preserve">Immutable submissions (INV-14). </w:t>
            </w:r>
            <w:r>
              <w:rPr>
                <w:rStyle w:val="Strong"/>
              </w:rPr>
              <w:t>Anonymous routing (POL-014) means an anonymous row references cohort, facility, and ward — and holds no placement or student column at all</w:t>
            </w:r>
          </w:p>
        </w:tc>
      </w:tr>
      <w:tr>
        <w:trPr/>
        <w:tc>
          <w:tcPr>
            <w:tcW w:w="1336" w:type="dxa"/>
            <w:tcBorders/>
            <w:vAlign w:val="center"/>
          </w:tcPr>
          <w:p>
            <w:pPr>
              <w:pStyle w:val="TableContents"/>
              <w:bidi w:val="0"/>
              <w:spacing w:before="0" w:after="283"/>
              <w:jc w:val="left"/>
              <w:rPr/>
            </w:pPr>
            <w:r>
              <w:rPr>
                <w:rStyle w:val="SourceText"/>
              </w:rPr>
              <w:t>safeguarding</w:t>
            </w:r>
          </w:p>
        </w:tc>
        <w:tc>
          <w:tcPr>
            <w:tcW w:w="2484" w:type="dxa"/>
            <w:tcBorders/>
            <w:vAlign w:val="center"/>
          </w:tcPr>
          <w:p>
            <w:pPr>
              <w:pStyle w:val="TableContents"/>
              <w:bidi w:val="0"/>
              <w:spacing w:before="0" w:after="283"/>
              <w:jc w:val="left"/>
              <w:rPr/>
            </w:pPr>
            <w:r>
              <w:rPr/>
              <w:t>Escalation, reviews, actions, reviewer assignment</w:t>
            </w:r>
          </w:p>
        </w:tc>
        <w:tc>
          <w:tcPr>
            <w:tcW w:w="3851" w:type="dxa"/>
            <w:tcBorders/>
            <w:vAlign w:val="center"/>
          </w:tcPr>
          <w:p>
            <w:pPr>
              <w:pStyle w:val="TableContents"/>
              <w:bidi w:val="0"/>
              <w:spacing w:before="0" w:after="283"/>
              <w:jc w:val="left"/>
              <w:rPr/>
            </w:pPr>
            <w:r>
              <w:rPr>
                <w:rStyle w:val="SourceText"/>
              </w:rPr>
              <w:t>EscalationRaised</w:t>
            </w:r>
            <w:r>
              <w:rPr/>
              <w:t xml:space="preserve">, </w:t>
            </w:r>
            <w:r>
              <w:rPr>
                <w:rStyle w:val="SourceText"/>
              </w:rPr>
              <w:t>EscalationUnderReview</w:t>
            </w:r>
            <w:r>
              <w:rPr/>
              <w:t xml:space="preserve">, </w:t>
            </w:r>
            <w:r>
              <w:rPr>
                <w:rStyle w:val="SourceText"/>
              </w:rPr>
              <w:t>EscalationResolved</w:t>
            </w:r>
            <w:r>
              <w:rPr/>
              <w:t xml:space="preserve">, </w:t>
            </w:r>
            <w:r>
              <w:rPr>
                <w:rStyle w:val="SourceText"/>
              </w:rPr>
              <w:t>EscalationClosed</w:t>
            </w:r>
          </w:p>
        </w:tc>
        <w:tc>
          <w:tcPr>
            <w:tcW w:w="4029" w:type="dxa"/>
            <w:tcBorders/>
            <w:vAlign w:val="center"/>
          </w:tcPr>
          <w:p>
            <w:pPr>
              <w:pStyle w:val="TableContents"/>
              <w:bidi w:val="0"/>
              <w:spacing w:before="0" w:after="283"/>
              <w:jc w:val="left"/>
              <w:rPr/>
            </w:pPr>
            <w:r>
              <w:rPr>
                <w:rStyle w:val="SourceText"/>
              </w:rPr>
              <w:t>placements</w:t>
            </w:r>
            <w:r>
              <w:rPr/>
              <w:t xml:space="preserve"> scope queries</w:t>
            </w:r>
          </w:p>
        </w:tc>
        <w:tc>
          <w:tcPr>
            <w:tcW w:w="5580" w:type="dxa"/>
            <w:tcBorders/>
            <w:vAlign w:val="center"/>
          </w:tcPr>
          <w:p>
            <w:pPr>
              <w:pStyle w:val="TableContents"/>
              <w:bidi w:val="0"/>
              <w:spacing w:before="0" w:after="283"/>
              <w:jc w:val="left"/>
              <w:rPr/>
            </w:pPr>
            <w:r>
              <w:rPr/>
              <w:t xml:space="preserve">Own five-state lifecycle. Field-level access on </w:t>
            </w:r>
            <w:r>
              <w:rPr>
                <w:rStyle w:val="SourceText"/>
              </w:rPr>
              <w:t>description</w:t>
            </w:r>
            <w:r>
              <w:rPr/>
              <w:t>/</w:t>
            </w:r>
            <w:r>
              <w:rPr>
                <w:rStyle w:val="SourceText"/>
              </w:rPr>
              <w:t>action_taken</w:t>
            </w:r>
            <w:r>
              <w:rPr/>
              <w:t xml:space="preserve"> enforced in this module's serialisation, never by callers (INV-13)</w:t>
            </w:r>
          </w:p>
        </w:tc>
      </w:tr>
    </w:tbl>
    <w:p>
      <w:pPr>
        <w:pStyle w:val="Heading3"/>
        <w:bidi w:val="0"/>
        <w:jc w:val="left"/>
        <w:rPr/>
      </w:pPr>
      <w:r>
        <w:rPr/>
        <w:t>4.5 Layer 5 — Read side and leaves</w:t>
      </w:r>
    </w:p>
    <w:tbl>
      <w:tblPr>
        <w:tblW w:w="17280" w:type="dxa"/>
        <w:jc w:val="left"/>
        <w:tblInd w:w="0" w:type="dxa"/>
        <w:tblLayout w:type="fixed"/>
        <w:tblCellMar>
          <w:top w:w="28" w:type="dxa"/>
          <w:left w:w="28" w:type="dxa"/>
          <w:bottom w:w="28" w:type="dxa"/>
          <w:right w:w="28" w:type="dxa"/>
        </w:tblCellMar>
      </w:tblPr>
      <w:tblGrid>
        <w:gridCol w:w="1246"/>
        <w:gridCol w:w="5571"/>
        <w:gridCol w:w="2058"/>
        <w:gridCol w:w="8405"/>
      </w:tblGrid>
      <w:tr>
        <w:trPr>
          <w:tblHeader w:val="true"/>
        </w:trPr>
        <w:tc>
          <w:tcPr>
            <w:tcW w:w="1246" w:type="dxa"/>
            <w:tcBorders/>
            <w:vAlign w:val="center"/>
          </w:tcPr>
          <w:p>
            <w:pPr>
              <w:pStyle w:val="TableHeading"/>
              <w:suppressLineNumbers/>
              <w:shd w:fill="0D1B33" w:val="clear"/>
              <w:bidi w:val="0"/>
              <w:spacing w:before="0" w:after="283"/>
              <w:jc w:val="left"/>
              <w:rPr/>
            </w:pPr>
            <w:r>
              <w:rPr/>
              <w:t>Module</w:t>
            </w:r>
          </w:p>
        </w:tc>
        <w:tc>
          <w:tcPr>
            <w:tcW w:w="5571" w:type="dxa"/>
            <w:tcBorders/>
            <w:vAlign w:val="center"/>
          </w:tcPr>
          <w:p>
            <w:pPr>
              <w:pStyle w:val="TableHeading"/>
              <w:suppressLineNumbers/>
              <w:shd w:fill="0D1B33" w:val="clear"/>
              <w:bidi w:val="0"/>
              <w:spacing w:before="0" w:after="283"/>
              <w:jc w:val="left"/>
              <w:rPr/>
            </w:pPr>
            <w:r>
              <w:rPr/>
              <w:t>Owns</w:t>
            </w:r>
          </w:p>
        </w:tc>
        <w:tc>
          <w:tcPr>
            <w:tcW w:w="2058" w:type="dxa"/>
            <w:tcBorders/>
            <w:vAlign w:val="center"/>
          </w:tcPr>
          <w:p>
            <w:pPr>
              <w:pStyle w:val="TableHeading"/>
              <w:suppressLineNumbers/>
              <w:shd w:fill="0D1B33" w:val="clear"/>
              <w:bidi w:val="0"/>
              <w:spacing w:before="0" w:after="283"/>
              <w:jc w:val="left"/>
              <w:rPr/>
            </w:pPr>
            <w:r>
              <w:rPr/>
              <w:t>Consumes</w:t>
            </w:r>
          </w:p>
        </w:tc>
        <w:tc>
          <w:tcPr>
            <w:tcW w:w="8405" w:type="dxa"/>
            <w:tcBorders/>
            <w:vAlign w:val="center"/>
          </w:tcPr>
          <w:p>
            <w:pPr>
              <w:pStyle w:val="TableHeading"/>
              <w:suppressLineNumbers/>
              <w:shd w:fill="0D1B33" w:val="clear"/>
              <w:bidi w:val="0"/>
              <w:spacing w:before="0" w:after="283"/>
              <w:jc w:val="left"/>
              <w:rPr/>
            </w:pPr>
            <w:r>
              <w:rPr/>
              <w:t>Never does</w:t>
            </w:r>
          </w:p>
        </w:tc>
      </w:tr>
      <w:tr>
        <w:trPr/>
        <w:tc>
          <w:tcPr>
            <w:tcW w:w="1246" w:type="dxa"/>
            <w:tcBorders/>
            <w:vAlign w:val="center"/>
          </w:tcPr>
          <w:p>
            <w:pPr>
              <w:pStyle w:val="TableContents"/>
              <w:bidi w:val="0"/>
              <w:spacing w:before="0" w:after="283"/>
              <w:jc w:val="left"/>
              <w:rPr/>
            </w:pPr>
            <w:r>
              <w:rPr>
                <w:rStyle w:val="SourceText"/>
              </w:rPr>
              <w:t>analytics</w:t>
            </w:r>
          </w:p>
        </w:tc>
        <w:tc>
          <w:tcPr>
            <w:tcW w:w="5571" w:type="dxa"/>
            <w:tcBorders/>
            <w:vAlign w:val="center"/>
          </w:tcPr>
          <w:p>
            <w:pPr>
              <w:pStyle w:val="TableContents"/>
              <w:bidi w:val="0"/>
              <w:spacing w:before="0" w:after="283"/>
              <w:jc w:val="left"/>
              <w:rPr/>
            </w:pPr>
            <w:r>
              <w:rPr/>
              <w:t>Projections, dashboard read models, export records, progress summaries</w:t>
            </w:r>
          </w:p>
        </w:tc>
        <w:tc>
          <w:tcPr>
            <w:tcW w:w="2058" w:type="dxa"/>
            <w:tcBorders/>
            <w:vAlign w:val="center"/>
          </w:tcPr>
          <w:p>
            <w:pPr>
              <w:pStyle w:val="TableContents"/>
              <w:bidi w:val="0"/>
              <w:spacing w:before="0" w:after="283"/>
              <w:jc w:val="left"/>
              <w:rPr/>
            </w:pPr>
            <w:r>
              <w:rPr/>
              <w:t>Every event</w:t>
            </w:r>
          </w:p>
        </w:tc>
        <w:tc>
          <w:tcPr>
            <w:tcW w:w="8405" w:type="dxa"/>
            <w:tcBorders/>
            <w:vAlign w:val="center"/>
          </w:tcPr>
          <w:p>
            <w:pPr>
              <w:pStyle w:val="TableContents"/>
              <w:bidi w:val="0"/>
              <w:spacing w:before="0" w:after="283"/>
              <w:jc w:val="left"/>
              <w:rPr/>
            </w:pPr>
            <w:r>
              <w:rPr/>
              <w:t>Writes domain data. Is imported by another module. Computes a metric a user can edit (WFR-022)</w:t>
            </w:r>
          </w:p>
        </w:tc>
      </w:tr>
      <w:tr>
        <w:trPr/>
        <w:tc>
          <w:tcPr>
            <w:tcW w:w="1246" w:type="dxa"/>
            <w:tcBorders/>
            <w:vAlign w:val="center"/>
          </w:tcPr>
          <w:p>
            <w:pPr>
              <w:pStyle w:val="TableContents"/>
              <w:bidi w:val="0"/>
              <w:spacing w:before="0" w:after="283"/>
              <w:jc w:val="left"/>
              <w:rPr/>
            </w:pPr>
            <w:r>
              <w:rPr>
                <w:rStyle w:val="SourceText"/>
              </w:rPr>
              <w:t>notifications</w:t>
            </w:r>
          </w:p>
        </w:tc>
        <w:tc>
          <w:tcPr>
            <w:tcW w:w="5571" w:type="dxa"/>
            <w:tcBorders/>
            <w:vAlign w:val="center"/>
          </w:tcPr>
          <w:p>
            <w:pPr>
              <w:pStyle w:val="TableContents"/>
              <w:bidi w:val="0"/>
              <w:spacing w:before="0" w:after="283"/>
              <w:jc w:val="left"/>
              <w:rPr/>
            </w:pPr>
            <w:r>
              <w:rPr/>
              <w:t>Notification records, templates, delivery attempts, retries</w:t>
            </w:r>
          </w:p>
        </w:tc>
        <w:tc>
          <w:tcPr>
            <w:tcW w:w="2058" w:type="dxa"/>
            <w:tcBorders/>
            <w:vAlign w:val="center"/>
          </w:tcPr>
          <w:p>
            <w:pPr>
              <w:pStyle w:val="TableContents"/>
              <w:bidi w:val="0"/>
              <w:spacing w:before="0" w:after="283"/>
              <w:jc w:val="left"/>
              <w:rPr/>
            </w:pPr>
            <w:r>
              <w:rPr/>
              <w:t>Events with routing rules</w:t>
            </w:r>
          </w:p>
        </w:tc>
        <w:tc>
          <w:tcPr>
            <w:tcW w:w="8405" w:type="dxa"/>
            <w:tcBorders/>
            <w:vAlign w:val="center"/>
          </w:tcPr>
          <w:p>
            <w:pPr>
              <w:pStyle w:val="TableContents"/>
              <w:bidi w:val="0"/>
              <w:spacing w:before="0" w:after="283"/>
              <w:jc w:val="left"/>
              <w:rPr/>
            </w:pPr>
            <w:r>
              <w:rPr/>
              <w:t>Decides anything (WFR-023). Receives escalation content, feedback text, or session free text in a payload (WFR-025)</w:t>
            </w:r>
          </w:p>
        </w:tc>
      </w:tr>
    </w:tbl>
    <w:p>
      <w:pPr>
        <w:pStyle w:val="HorizontalLine"/>
        <w:bidi w:val="0"/>
        <w:jc w:val="left"/>
        <w:rPr/>
      </w:pPr>
      <w:r>
        <w:rPr/>
      </w:r>
    </w:p>
    <w:p>
      <w:pPr>
        <w:pStyle w:val="Heading2"/>
        <w:bidi w:val="0"/>
        <w:jc w:val="left"/>
        <w:rPr/>
      </w:pPr>
      <w:r>
        <w:rPr/>
        <w:t>5. Renames From the Existing Scaffold</w:t>
      </w:r>
    </w:p>
    <w:p>
      <w:pPr>
        <w:pStyle w:val="BodyText"/>
        <w:bidi w:val="0"/>
        <w:jc w:val="left"/>
        <w:rPr/>
      </w:pPr>
      <w:r>
        <w:rPr/>
        <w:t xml:space="preserve">The current </w:t>
      </w:r>
      <w:r>
        <w:rPr>
          <w:rStyle w:val="SourceText"/>
        </w:rPr>
        <w:t>backend/apps/</w:t>
      </w:r>
      <w:r>
        <w:rPr/>
        <w:t xml:space="preserve"> layout cannot express the workflows: the aggregate root that coordinates all eight of them has no app, while three of its children do. Mapping:</w:t>
      </w:r>
    </w:p>
    <w:tbl>
      <w:tblPr>
        <w:tblW w:w="17280" w:type="dxa"/>
        <w:jc w:val="left"/>
        <w:tblInd w:w="0" w:type="dxa"/>
        <w:tblLayout w:type="fixed"/>
        <w:tblCellMar>
          <w:top w:w="28" w:type="dxa"/>
          <w:left w:w="28" w:type="dxa"/>
          <w:bottom w:w="28" w:type="dxa"/>
          <w:right w:w="28" w:type="dxa"/>
        </w:tblCellMar>
      </w:tblPr>
      <w:tblGrid>
        <w:gridCol w:w="1437"/>
        <w:gridCol w:w="1321"/>
        <w:gridCol w:w="14522"/>
      </w:tblGrid>
      <w:tr>
        <w:trPr>
          <w:tblHeader w:val="true"/>
        </w:trPr>
        <w:tc>
          <w:tcPr>
            <w:tcW w:w="1437" w:type="dxa"/>
            <w:tcBorders/>
            <w:vAlign w:val="center"/>
          </w:tcPr>
          <w:p>
            <w:pPr>
              <w:pStyle w:val="TableHeading"/>
              <w:suppressLineNumbers/>
              <w:shd w:fill="0D1B33" w:val="clear"/>
              <w:bidi w:val="0"/>
              <w:spacing w:before="0" w:after="283"/>
              <w:jc w:val="left"/>
              <w:rPr/>
            </w:pPr>
            <w:r>
              <w:rPr/>
              <w:t>Current</w:t>
            </w:r>
          </w:p>
        </w:tc>
        <w:tc>
          <w:tcPr>
            <w:tcW w:w="1321" w:type="dxa"/>
            <w:tcBorders/>
            <w:vAlign w:val="center"/>
          </w:tcPr>
          <w:p>
            <w:pPr>
              <w:pStyle w:val="TableHeading"/>
              <w:suppressLineNumbers/>
              <w:shd w:fill="0D1B33" w:val="clear"/>
              <w:bidi w:val="0"/>
              <w:spacing w:before="0" w:after="283"/>
              <w:jc w:val="left"/>
              <w:rPr/>
            </w:pPr>
            <w:r>
              <w:rPr/>
              <w:t>Becomes</w:t>
            </w:r>
          </w:p>
        </w:tc>
        <w:tc>
          <w:tcPr>
            <w:tcW w:w="14522" w:type="dxa"/>
            <w:tcBorders/>
            <w:vAlign w:val="center"/>
          </w:tcPr>
          <w:p>
            <w:pPr>
              <w:pStyle w:val="TableHeading"/>
              <w:suppressLineNumbers/>
              <w:shd w:fill="0D1B33" w:val="clear"/>
              <w:bidi w:val="0"/>
              <w:spacing w:before="0" w:after="283"/>
              <w:jc w:val="left"/>
              <w:rPr/>
            </w:pPr>
            <w:r>
              <w:rPr/>
              <w:t>Why</w:t>
            </w:r>
          </w:p>
        </w:tc>
      </w:tr>
      <w:tr>
        <w:trPr/>
        <w:tc>
          <w:tcPr>
            <w:tcW w:w="1437" w:type="dxa"/>
            <w:tcBorders/>
            <w:vAlign w:val="center"/>
          </w:tcPr>
          <w:p>
            <w:pPr>
              <w:pStyle w:val="TableContents"/>
              <w:bidi w:val="0"/>
              <w:spacing w:before="0" w:after="283"/>
              <w:jc w:val="left"/>
              <w:rPr/>
            </w:pPr>
            <w:r>
              <w:rPr/>
              <w:t>—</w:t>
            </w:r>
          </w:p>
        </w:tc>
        <w:tc>
          <w:tcPr>
            <w:tcW w:w="1321" w:type="dxa"/>
            <w:tcBorders/>
            <w:vAlign w:val="center"/>
          </w:tcPr>
          <w:p>
            <w:pPr>
              <w:pStyle w:val="TableContents"/>
              <w:bidi w:val="0"/>
              <w:spacing w:before="0" w:after="283"/>
              <w:jc w:val="left"/>
              <w:rPr/>
            </w:pPr>
            <w:r>
              <w:rPr>
                <w:rStyle w:val="SourceText"/>
              </w:rPr>
              <w:t>placements</w:t>
            </w:r>
          </w:p>
        </w:tc>
        <w:tc>
          <w:tcPr>
            <w:tcW w:w="14522" w:type="dxa"/>
            <w:tcBorders/>
            <w:vAlign w:val="center"/>
          </w:tcPr>
          <w:p>
            <w:pPr>
              <w:pStyle w:val="TableContents"/>
              <w:bidi w:val="0"/>
              <w:spacing w:before="0" w:after="283"/>
              <w:jc w:val="left"/>
              <w:rPr/>
            </w:pPr>
            <w:r>
              <w:rPr>
                <w:rStyle w:val="Strong"/>
              </w:rPr>
              <w:t>The missing core.</w:t>
            </w:r>
            <w:r>
              <w:rPr/>
              <w:t xml:space="preserve"> The aggregate root of the entire system had no home</w:t>
            </w:r>
          </w:p>
        </w:tc>
      </w:tr>
      <w:tr>
        <w:trPr/>
        <w:tc>
          <w:tcPr>
            <w:tcW w:w="1437" w:type="dxa"/>
            <w:tcBorders/>
            <w:vAlign w:val="center"/>
          </w:tcPr>
          <w:p>
            <w:pPr>
              <w:pStyle w:val="TableContents"/>
              <w:bidi w:val="0"/>
              <w:spacing w:before="0" w:after="283"/>
              <w:jc w:val="left"/>
              <w:rPr/>
            </w:pPr>
            <w:r>
              <w:rPr>
                <w:rStyle w:val="SourceText"/>
              </w:rPr>
              <w:t>accounts</w:t>
            </w:r>
          </w:p>
        </w:tc>
        <w:tc>
          <w:tcPr>
            <w:tcW w:w="1321" w:type="dxa"/>
            <w:tcBorders/>
            <w:vAlign w:val="center"/>
          </w:tcPr>
          <w:p>
            <w:pPr>
              <w:pStyle w:val="TableContents"/>
              <w:bidi w:val="0"/>
              <w:spacing w:before="0" w:after="283"/>
              <w:jc w:val="left"/>
              <w:rPr/>
            </w:pPr>
            <w:r>
              <w:rPr>
                <w:rStyle w:val="SourceText"/>
              </w:rPr>
              <w:t>identity</w:t>
            </w:r>
          </w:p>
        </w:tc>
        <w:tc>
          <w:tcPr>
            <w:tcW w:w="14522" w:type="dxa"/>
            <w:tcBorders/>
            <w:vAlign w:val="center"/>
          </w:tcPr>
          <w:p>
            <w:pPr>
              <w:pStyle w:val="TableContents"/>
              <w:bidi w:val="0"/>
              <w:spacing w:before="0" w:after="283"/>
              <w:jc w:val="left"/>
              <w:rPr/>
            </w:pPr>
            <w:r>
              <w:rPr/>
              <w:t>It owns invitations, credentials, and scope resolution — not just accounts</w:t>
            </w:r>
          </w:p>
        </w:tc>
      </w:tr>
      <w:tr>
        <w:trPr/>
        <w:tc>
          <w:tcPr>
            <w:tcW w:w="1437" w:type="dxa"/>
            <w:tcBorders/>
            <w:vAlign w:val="center"/>
          </w:tcPr>
          <w:p>
            <w:pPr>
              <w:pStyle w:val="TableContents"/>
              <w:bidi w:val="0"/>
              <w:spacing w:before="0" w:after="283"/>
              <w:jc w:val="left"/>
              <w:rPr/>
            </w:pPr>
            <w:r>
              <w:rPr>
                <w:rStyle w:val="SourceText"/>
              </w:rPr>
              <w:t>sessions</w:t>
            </w:r>
          </w:p>
        </w:tc>
        <w:tc>
          <w:tcPr>
            <w:tcW w:w="1321" w:type="dxa"/>
            <w:tcBorders/>
            <w:vAlign w:val="center"/>
          </w:tcPr>
          <w:p>
            <w:pPr>
              <w:pStyle w:val="TableContents"/>
              <w:bidi w:val="0"/>
              <w:spacing w:before="0" w:after="283"/>
              <w:jc w:val="left"/>
              <w:rPr/>
            </w:pPr>
            <w:r>
              <w:rPr>
                <w:rStyle w:val="SourceText"/>
              </w:rPr>
              <w:t>mentorship</w:t>
            </w:r>
          </w:p>
        </w:tc>
        <w:tc>
          <w:tcPr>
            <w:tcW w:w="14522" w:type="dxa"/>
            <w:tcBorders/>
            <w:vAlign w:val="center"/>
          </w:tcPr>
          <w:p>
            <w:pPr>
              <w:pStyle w:val="TableContents"/>
              <w:bidi w:val="0"/>
              <w:spacing w:before="0" w:after="283"/>
              <w:jc w:val="left"/>
              <w:rPr/>
            </w:pPr>
            <w:r>
              <w:rPr>
                <w:rStyle w:val="SourceText"/>
              </w:rPr>
              <w:t>apps.sessions</w:t>
            </w:r>
            <w:r>
              <w:rPr/>
              <w:t xml:space="preserve"> collides in name with </w:t>
            </w:r>
            <w:r>
              <w:rPr>
                <w:rStyle w:val="SourceText"/>
              </w:rPr>
              <w:t>django.contrib.sessions</w:t>
            </w:r>
            <w:r>
              <w:rPr/>
              <w:t xml:space="preserve"> in every conversation and half the imports. Also: the module is about mentorship, and a "session" is one record inside it</w:t>
            </w:r>
          </w:p>
        </w:tc>
      </w:tr>
      <w:tr>
        <w:trPr/>
        <w:tc>
          <w:tcPr>
            <w:tcW w:w="1437" w:type="dxa"/>
            <w:tcBorders/>
            <w:vAlign w:val="center"/>
          </w:tcPr>
          <w:p>
            <w:pPr>
              <w:pStyle w:val="TableContents"/>
              <w:bidi w:val="0"/>
              <w:spacing w:before="0" w:after="283"/>
              <w:jc w:val="left"/>
              <w:rPr/>
            </w:pPr>
            <w:r>
              <w:rPr>
                <w:rStyle w:val="SourceText"/>
              </w:rPr>
              <w:t>training</w:t>
            </w:r>
          </w:p>
        </w:tc>
        <w:tc>
          <w:tcPr>
            <w:tcW w:w="1321" w:type="dxa"/>
            <w:tcBorders/>
            <w:vAlign w:val="center"/>
          </w:tcPr>
          <w:p>
            <w:pPr>
              <w:pStyle w:val="TableContents"/>
              <w:bidi w:val="0"/>
              <w:spacing w:before="0" w:after="283"/>
              <w:jc w:val="left"/>
              <w:rPr/>
            </w:pPr>
            <w:r>
              <w:rPr>
                <w:rStyle w:val="SourceText"/>
              </w:rPr>
              <w:t>learning</w:t>
            </w:r>
          </w:p>
        </w:tc>
        <w:tc>
          <w:tcPr>
            <w:tcW w:w="14522" w:type="dxa"/>
            <w:tcBorders/>
            <w:vAlign w:val="center"/>
          </w:tcPr>
          <w:p>
            <w:pPr>
              <w:pStyle w:val="TableContents"/>
              <w:bidi w:val="0"/>
              <w:spacing w:before="0" w:after="283"/>
              <w:jc w:val="left"/>
              <w:rPr/>
            </w:pPr>
            <w:r>
              <w:rPr/>
              <w:t>Matches the bounded context and leaves room for lessons and content, not only modules</w:t>
            </w:r>
          </w:p>
        </w:tc>
      </w:tr>
      <w:tr>
        <w:trPr/>
        <w:tc>
          <w:tcPr>
            <w:tcW w:w="1437" w:type="dxa"/>
            <w:tcBorders/>
            <w:vAlign w:val="center"/>
          </w:tcPr>
          <w:p>
            <w:pPr>
              <w:pStyle w:val="TableContents"/>
              <w:bidi w:val="0"/>
              <w:spacing w:before="0" w:after="283"/>
              <w:jc w:val="left"/>
              <w:rPr/>
            </w:pPr>
            <w:r>
              <w:rPr>
                <w:rStyle w:val="SourceText"/>
              </w:rPr>
              <w:t>feedback</w:t>
            </w:r>
          </w:p>
        </w:tc>
        <w:tc>
          <w:tcPr>
            <w:tcW w:w="1321" w:type="dxa"/>
            <w:tcBorders/>
            <w:vAlign w:val="center"/>
          </w:tcPr>
          <w:p>
            <w:pPr>
              <w:pStyle w:val="TableContents"/>
              <w:bidi w:val="0"/>
              <w:spacing w:before="0" w:after="283"/>
              <w:jc w:val="left"/>
              <w:rPr/>
            </w:pPr>
            <w:r>
              <w:rPr>
                <w:rStyle w:val="SourceText"/>
              </w:rPr>
              <w:t>assessments</w:t>
            </w:r>
          </w:p>
        </w:tc>
        <w:tc>
          <w:tcPr>
            <w:tcW w:w="14522" w:type="dxa"/>
            <w:tcBorders/>
            <w:vAlign w:val="center"/>
          </w:tcPr>
          <w:p>
            <w:pPr>
              <w:pStyle w:val="TableContents"/>
              <w:bidi w:val="0"/>
              <w:spacing w:before="0" w:after="283"/>
              <w:jc w:val="left"/>
              <w:rPr/>
            </w:pPr>
            <w:r>
              <w:rPr/>
              <w:t>It owns confidence scores and evaluations too, and Stage 2 named the context Assessment</w:t>
            </w:r>
          </w:p>
        </w:tc>
      </w:tr>
      <w:tr>
        <w:trPr/>
        <w:tc>
          <w:tcPr>
            <w:tcW w:w="1437" w:type="dxa"/>
            <w:tcBorders/>
            <w:vAlign w:val="center"/>
          </w:tcPr>
          <w:p>
            <w:pPr>
              <w:pStyle w:val="TableContents"/>
              <w:bidi w:val="0"/>
              <w:spacing w:before="0" w:after="283"/>
              <w:jc w:val="left"/>
              <w:rPr/>
            </w:pPr>
            <w:r>
              <w:rPr>
                <w:rStyle w:val="SourceText"/>
              </w:rPr>
              <w:t>escalations</w:t>
            </w:r>
          </w:p>
        </w:tc>
        <w:tc>
          <w:tcPr>
            <w:tcW w:w="1321" w:type="dxa"/>
            <w:tcBorders/>
            <w:vAlign w:val="center"/>
          </w:tcPr>
          <w:p>
            <w:pPr>
              <w:pStyle w:val="TableContents"/>
              <w:bidi w:val="0"/>
              <w:spacing w:before="0" w:after="283"/>
              <w:jc w:val="left"/>
              <w:rPr/>
            </w:pPr>
            <w:r>
              <w:rPr>
                <w:rStyle w:val="SourceText"/>
              </w:rPr>
              <w:t>safeguarding</w:t>
            </w:r>
          </w:p>
        </w:tc>
        <w:tc>
          <w:tcPr>
            <w:tcW w:w="14522" w:type="dxa"/>
            <w:tcBorders/>
            <w:vAlign w:val="center"/>
          </w:tcPr>
          <w:p>
            <w:pPr>
              <w:pStyle w:val="TableContents"/>
              <w:bidi w:val="0"/>
              <w:spacing w:before="0" w:after="283"/>
              <w:jc w:val="left"/>
              <w:rPr/>
            </w:pPr>
            <w:r>
              <w:rPr/>
              <w:t>The context is safeguarding; an escalation is one record in it. The name also signals the access rules attached to it</w:t>
            </w:r>
          </w:p>
        </w:tc>
      </w:tr>
      <w:tr>
        <w:trPr/>
        <w:tc>
          <w:tcPr>
            <w:tcW w:w="1437" w:type="dxa"/>
            <w:tcBorders/>
            <w:vAlign w:val="center"/>
          </w:tcPr>
          <w:p>
            <w:pPr>
              <w:pStyle w:val="TableContents"/>
              <w:bidi w:val="0"/>
              <w:spacing w:before="0" w:after="283"/>
              <w:jc w:val="left"/>
              <w:rPr/>
            </w:pPr>
            <w:r>
              <w:rPr>
                <w:rStyle w:val="SourceText"/>
              </w:rPr>
              <w:t>dashboards</w:t>
            </w:r>
          </w:p>
        </w:tc>
        <w:tc>
          <w:tcPr>
            <w:tcW w:w="1321" w:type="dxa"/>
            <w:tcBorders/>
            <w:vAlign w:val="center"/>
          </w:tcPr>
          <w:p>
            <w:pPr>
              <w:pStyle w:val="TableContents"/>
              <w:bidi w:val="0"/>
              <w:spacing w:before="0" w:after="283"/>
              <w:jc w:val="left"/>
              <w:rPr/>
            </w:pPr>
            <w:r>
              <w:rPr>
                <w:rStyle w:val="SourceText"/>
              </w:rPr>
              <w:t>analytics</w:t>
            </w:r>
          </w:p>
        </w:tc>
        <w:tc>
          <w:tcPr>
            <w:tcW w:w="14522" w:type="dxa"/>
            <w:tcBorders/>
            <w:vAlign w:val="center"/>
          </w:tcPr>
          <w:p>
            <w:pPr>
              <w:pStyle w:val="TableContents"/>
              <w:bidi w:val="0"/>
              <w:spacing w:before="0" w:after="283"/>
              <w:jc w:val="left"/>
              <w:rPr/>
            </w:pPr>
            <w:r>
              <w:rPr/>
              <w:t>It owns projections and exports, not screens</w:t>
            </w:r>
          </w:p>
        </w:tc>
      </w:tr>
      <w:tr>
        <w:trPr/>
        <w:tc>
          <w:tcPr>
            <w:tcW w:w="1437" w:type="dxa"/>
            <w:tcBorders/>
            <w:vAlign w:val="center"/>
          </w:tcPr>
          <w:p>
            <w:pPr>
              <w:pStyle w:val="TableContents"/>
              <w:bidi w:val="0"/>
              <w:spacing w:before="0" w:after="283"/>
              <w:jc w:val="left"/>
              <w:rPr/>
            </w:pPr>
            <w:r>
              <w:rPr>
                <w:rStyle w:val="SourceText"/>
              </w:rPr>
              <w:t>content_library</w:t>
            </w:r>
          </w:p>
        </w:tc>
        <w:tc>
          <w:tcPr>
            <w:tcW w:w="1321" w:type="dxa"/>
            <w:tcBorders/>
            <w:vAlign w:val="center"/>
          </w:tcPr>
          <w:p>
            <w:pPr>
              <w:pStyle w:val="TableContents"/>
              <w:bidi w:val="0"/>
              <w:spacing w:before="0" w:after="283"/>
              <w:jc w:val="left"/>
              <w:rPr/>
            </w:pPr>
            <w:r>
              <w:rPr>
                <w:rStyle w:val="SourceText"/>
              </w:rPr>
              <w:t>content</w:t>
            </w:r>
          </w:p>
        </w:tc>
        <w:tc>
          <w:tcPr>
            <w:tcW w:w="14522" w:type="dxa"/>
            <w:tcBorders/>
            <w:vAlign w:val="center"/>
          </w:tcPr>
          <w:p>
            <w:pPr>
              <w:pStyle w:val="TableContents"/>
              <w:bidi w:val="0"/>
              <w:spacing w:before="0" w:after="283"/>
              <w:jc w:val="left"/>
              <w:rPr/>
            </w:pPr>
            <w:r>
              <w:rPr/>
              <w:t>Shorter, same thing</w:t>
            </w:r>
          </w:p>
        </w:tc>
      </w:tr>
      <w:tr>
        <w:trPr/>
        <w:tc>
          <w:tcPr>
            <w:tcW w:w="1437" w:type="dxa"/>
            <w:tcBorders/>
            <w:vAlign w:val="center"/>
          </w:tcPr>
          <w:p>
            <w:pPr>
              <w:pStyle w:val="TableContents"/>
              <w:bidi w:val="0"/>
              <w:spacing w:before="0" w:after="283"/>
              <w:jc w:val="left"/>
              <w:rPr/>
            </w:pPr>
            <w:r>
              <w:rPr>
                <w:rStyle w:val="SourceText"/>
              </w:rPr>
              <w:t>facilities</w:t>
            </w:r>
          </w:p>
        </w:tc>
        <w:tc>
          <w:tcPr>
            <w:tcW w:w="1321" w:type="dxa"/>
            <w:tcBorders/>
            <w:vAlign w:val="center"/>
          </w:tcPr>
          <w:p>
            <w:pPr>
              <w:pStyle w:val="TableContents"/>
              <w:bidi w:val="0"/>
              <w:spacing w:before="0" w:after="283"/>
              <w:jc w:val="left"/>
              <w:rPr/>
            </w:pPr>
            <w:r>
              <w:rPr>
                <w:rStyle w:val="SourceText"/>
              </w:rPr>
              <w:t>facilities</w:t>
            </w:r>
          </w:p>
        </w:tc>
        <w:tc>
          <w:tcPr>
            <w:tcW w:w="14522" w:type="dxa"/>
            <w:tcBorders/>
            <w:vAlign w:val="center"/>
          </w:tcPr>
          <w:p>
            <w:pPr>
              <w:pStyle w:val="TableContents"/>
              <w:bidi w:val="0"/>
              <w:spacing w:before="0" w:after="283"/>
              <w:jc w:val="left"/>
              <w:rPr/>
            </w:pPr>
            <w:r>
              <w:rPr/>
              <w:t>Unchanged</w:t>
            </w:r>
          </w:p>
        </w:tc>
      </w:tr>
      <w:tr>
        <w:trPr/>
        <w:tc>
          <w:tcPr>
            <w:tcW w:w="1437" w:type="dxa"/>
            <w:tcBorders/>
            <w:vAlign w:val="center"/>
          </w:tcPr>
          <w:p>
            <w:pPr>
              <w:pStyle w:val="TableContents"/>
              <w:bidi w:val="0"/>
              <w:spacing w:before="0" w:after="283"/>
              <w:jc w:val="left"/>
              <w:rPr/>
            </w:pPr>
            <w:r>
              <w:rPr>
                <w:rStyle w:val="SourceText"/>
              </w:rPr>
              <w:t>induction</w:t>
            </w:r>
          </w:p>
        </w:tc>
        <w:tc>
          <w:tcPr>
            <w:tcW w:w="1321" w:type="dxa"/>
            <w:tcBorders/>
            <w:vAlign w:val="center"/>
          </w:tcPr>
          <w:p>
            <w:pPr>
              <w:pStyle w:val="TableContents"/>
              <w:bidi w:val="0"/>
              <w:spacing w:before="0" w:after="283"/>
              <w:jc w:val="left"/>
              <w:rPr/>
            </w:pPr>
            <w:r>
              <w:rPr>
                <w:rStyle w:val="SourceText"/>
              </w:rPr>
              <w:t>induction</w:t>
            </w:r>
          </w:p>
        </w:tc>
        <w:tc>
          <w:tcPr>
            <w:tcW w:w="14522" w:type="dxa"/>
            <w:tcBorders/>
            <w:vAlign w:val="center"/>
          </w:tcPr>
          <w:p>
            <w:pPr>
              <w:pStyle w:val="TableContents"/>
              <w:bidi w:val="0"/>
              <w:spacing w:before="0" w:after="283"/>
              <w:jc w:val="left"/>
              <w:rPr/>
            </w:pPr>
            <w:r>
              <w:rPr/>
              <w:t>Unchanged</w:t>
            </w:r>
          </w:p>
        </w:tc>
      </w:tr>
      <w:tr>
        <w:trPr/>
        <w:tc>
          <w:tcPr>
            <w:tcW w:w="1437" w:type="dxa"/>
            <w:tcBorders/>
            <w:vAlign w:val="center"/>
          </w:tcPr>
          <w:p>
            <w:pPr>
              <w:pStyle w:val="TableContents"/>
              <w:bidi w:val="0"/>
              <w:spacing w:before="0" w:after="283"/>
              <w:jc w:val="left"/>
              <w:rPr/>
            </w:pPr>
            <w:r>
              <w:rPr>
                <w:rStyle w:val="SourceText"/>
              </w:rPr>
              <w:t>core</w:t>
            </w:r>
          </w:p>
        </w:tc>
        <w:tc>
          <w:tcPr>
            <w:tcW w:w="1321" w:type="dxa"/>
            <w:tcBorders/>
            <w:vAlign w:val="center"/>
          </w:tcPr>
          <w:p>
            <w:pPr>
              <w:pStyle w:val="TableContents"/>
              <w:bidi w:val="0"/>
              <w:spacing w:before="0" w:after="283"/>
              <w:jc w:val="left"/>
              <w:rPr/>
            </w:pPr>
            <w:r>
              <w:rPr>
                <w:rStyle w:val="SourceText"/>
              </w:rPr>
              <w:t>core</w:t>
            </w:r>
          </w:p>
        </w:tc>
        <w:tc>
          <w:tcPr>
            <w:tcW w:w="14522" w:type="dxa"/>
            <w:tcBorders/>
            <w:vAlign w:val="center"/>
          </w:tcPr>
          <w:p>
            <w:pPr>
              <w:pStyle w:val="TableContents"/>
              <w:bidi w:val="0"/>
              <w:spacing w:before="0" w:after="283"/>
              <w:jc w:val="left"/>
              <w:rPr/>
            </w:pPr>
            <w:r>
              <w:rPr/>
              <w:t>Unchanged in name; gains outbox, audit, idempotency, and the error catalogue</w:t>
            </w:r>
          </w:p>
        </w:tc>
      </w:tr>
      <w:tr>
        <w:trPr/>
        <w:tc>
          <w:tcPr>
            <w:tcW w:w="1437" w:type="dxa"/>
            <w:tcBorders/>
            <w:vAlign w:val="center"/>
          </w:tcPr>
          <w:p>
            <w:pPr>
              <w:pStyle w:val="TableContents"/>
              <w:bidi w:val="0"/>
              <w:spacing w:before="0" w:after="283"/>
              <w:jc w:val="left"/>
              <w:rPr/>
            </w:pPr>
            <w:r>
              <w:rPr/>
              <w:t>—</w:t>
            </w:r>
          </w:p>
        </w:tc>
        <w:tc>
          <w:tcPr>
            <w:tcW w:w="1321" w:type="dxa"/>
            <w:tcBorders/>
            <w:vAlign w:val="center"/>
          </w:tcPr>
          <w:p>
            <w:pPr>
              <w:pStyle w:val="TableContents"/>
              <w:bidi w:val="0"/>
              <w:spacing w:before="0" w:after="283"/>
              <w:jc w:val="left"/>
              <w:rPr/>
            </w:pPr>
            <w:r>
              <w:rPr>
                <w:rStyle w:val="SourceText"/>
              </w:rPr>
              <w:t>institutions</w:t>
            </w:r>
          </w:p>
        </w:tc>
        <w:tc>
          <w:tcPr>
            <w:tcW w:w="14522" w:type="dxa"/>
            <w:tcBorders/>
            <w:vAlign w:val="center"/>
          </w:tcPr>
          <w:p>
            <w:pPr>
              <w:pStyle w:val="TableContents"/>
              <w:bidi w:val="0"/>
              <w:spacing w:before="0" w:after="283"/>
              <w:jc w:val="left"/>
              <w:rPr/>
            </w:pPr>
            <w:r>
              <w:rPr/>
              <w:t>The university side had no module — cohorts and enrolment were homeless</w:t>
            </w:r>
          </w:p>
        </w:tc>
      </w:tr>
      <w:tr>
        <w:trPr/>
        <w:tc>
          <w:tcPr>
            <w:tcW w:w="1437" w:type="dxa"/>
            <w:tcBorders/>
            <w:vAlign w:val="center"/>
          </w:tcPr>
          <w:p>
            <w:pPr>
              <w:pStyle w:val="TableContents"/>
              <w:bidi w:val="0"/>
              <w:spacing w:before="0" w:after="283"/>
              <w:jc w:val="left"/>
              <w:rPr/>
            </w:pPr>
            <w:r>
              <w:rPr/>
              <w:t>—</w:t>
            </w:r>
          </w:p>
        </w:tc>
        <w:tc>
          <w:tcPr>
            <w:tcW w:w="1321" w:type="dxa"/>
            <w:tcBorders/>
            <w:vAlign w:val="center"/>
          </w:tcPr>
          <w:p>
            <w:pPr>
              <w:pStyle w:val="TableContents"/>
              <w:bidi w:val="0"/>
              <w:spacing w:before="0" w:after="283"/>
              <w:jc w:val="left"/>
              <w:rPr/>
            </w:pPr>
            <w:r>
              <w:rPr>
                <w:rStyle w:val="SourceText"/>
              </w:rPr>
              <w:t>notifications</w:t>
            </w:r>
          </w:p>
        </w:tc>
        <w:tc>
          <w:tcPr>
            <w:tcW w:w="14522" w:type="dxa"/>
            <w:tcBorders/>
            <w:vAlign w:val="center"/>
          </w:tcPr>
          <w:p>
            <w:pPr>
              <w:pStyle w:val="TableContents"/>
              <w:bidi w:val="0"/>
              <w:spacing w:before="0" w:after="283"/>
              <w:jc w:val="left"/>
              <w:rPr/>
            </w:pPr>
            <w:r>
              <w:rPr/>
              <w:t>Was implied by the SADD's Notification Service actor but never had a module</w:t>
            </w:r>
          </w:p>
        </w:tc>
      </w:tr>
    </w:tbl>
    <w:p>
      <w:pPr>
        <w:pStyle w:val="BodyText"/>
        <w:bidi w:val="0"/>
        <w:jc w:val="left"/>
        <w:rPr/>
      </w:pPr>
      <w:r>
        <w:rPr/>
        <w:t xml:space="preserve">All thirteen apps except </w:t>
      </w:r>
      <w:r>
        <w:rPr>
          <w:rStyle w:val="SourceText"/>
        </w:rPr>
        <w:t>accounts</w:t>
      </w:r>
      <w:r>
        <w:rPr/>
        <w:t xml:space="preserve"> and </w:t>
      </w:r>
      <w:r>
        <w:rPr>
          <w:rStyle w:val="SourceText"/>
        </w:rPr>
        <w:t>core</w:t>
      </w:r>
      <w:r>
        <w:rPr/>
        <w:t xml:space="preserve"> are currently </w:t>
      </w:r>
      <w:r>
        <w:rPr>
          <w:rStyle w:val="Strong"/>
        </w:rPr>
        <w:t>empty stubs with no migrations</w:t>
      </w:r>
      <w:r>
        <w:rPr/>
        <w:t xml:space="preserve">, so this is a rename in name only — near-zero cost today, and a data migration on live pilot records if deferred. </w:t>
      </w:r>
      <w:r>
        <w:rPr>
          <w:rStyle w:val="SourceText"/>
        </w:rPr>
        <w:t>accounts</w:t>
      </w:r>
      <w:r>
        <w:rPr/>
        <w:t xml:space="preserve"> → </w:t>
      </w:r>
      <w:r>
        <w:rPr>
          <w:rStyle w:val="SourceText"/>
        </w:rPr>
        <w:t>identity</w:t>
      </w:r>
      <w:r>
        <w:rPr/>
        <w:t xml:space="preserve"> does carry one migration (the </w:t>
      </w:r>
      <w:r>
        <w:rPr>
          <w:rStyle w:val="SourceText"/>
        </w:rPr>
        <w:t>User</w:t>
      </w:r>
      <w:r>
        <w:rPr/>
        <w:t xml:space="preserve"> model), which is why it should happen before any other model exists to reference it.</w:t>
      </w:r>
    </w:p>
    <w:p>
      <w:pPr>
        <w:pStyle w:val="HorizontalLine"/>
        <w:bidi w:val="0"/>
        <w:jc w:val="left"/>
        <w:rPr/>
      </w:pPr>
      <w:r>
        <w:rPr/>
      </w:r>
    </w:p>
    <w:p>
      <w:pPr>
        <w:pStyle w:val="Heading2"/>
        <w:bidi w:val="0"/>
        <w:jc w:val="left"/>
        <w:rPr/>
      </w:pPr>
      <w:r>
        <w:rPr/>
        <w:t>6. Directory Structure</w:t>
      </w:r>
    </w:p>
    <w:p>
      <w:pPr>
        <w:pStyle w:val="BodyText"/>
        <w:bidi w:val="0"/>
        <w:jc w:val="left"/>
        <w:rPr/>
      </w:pPr>
      <w:r>
        <w:rPr/>
        <w:t>Every module has the same internal shape. Predictability here is worth more than expressiveness.</w:t>
      </w:r>
    </w:p>
    <w:p>
      <w:pPr>
        <w:pStyle w:val="PreformattedTextcode"/>
        <w:bidi w:val="0"/>
        <w:jc w:val="left"/>
        <w:rPr/>
      </w:pPr>
      <w:r>
        <w:rPr>
          <w:rStyle w:val="SourceText"/>
        </w:rPr>
        <w:t>backend/</w:t>
      </w:r>
    </w:p>
    <w:p>
      <w:pPr>
        <w:pStyle w:val="PreformattedTextcode"/>
        <w:bidi w:val="0"/>
        <w:jc w:val="left"/>
        <w:rPr/>
      </w:pPr>
      <w:r>
        <w:rPr>
          <w:rStyle w:val="SourceText"/>
        </w:rPr>
        <w:t xml:space="preserve">├── </w:t>
      </w:r>
      <w:r>
        <w:rPr>
          <w:rStyle w:val="SourceText"/>
        </w:rPr>
        <w:t>config/                      # settings, urls, asgi/wsgi</w:t>
      </w:r>
    </w:p>
    <w:p>
      <w:pPr>
        <w:pStyle w:val="PreformattedTextcode"/>
        <w:bidi w:val="0"/>
        <w:jc w:val="left"/>
        <w:rPr/>
      </w:pPr>
      <w:r>
        <w:rPr>
          <w:rStyle w:val="SourceText"/>
        </w:rPr>
        <w:t xml:space="preserve">└── </w:t>
      </w:r>
      <w:r>
        <w:rPr>
          <w:rStyle w:val="SourceText"/>
        </w:rPr>
        <w:t>apps/</w:t>
      </w:r>
    </w:p>
    <w:p>
      <w:pPr>
        <w:pStyle w:val="PreformattedTextcode"/>
        <w:bidi w:val="0"/>
        <w:jc w:val="left"/>
        <w:rPr/>
      </w:pPr>
      <w:r>
        <w:rPr>
          <w:rStyle w:val="SourceText"/>
        </w:rPr>
        <w:t xml:space="preserve">    ├── </w:t>
      </w:r>
      <w:r>
        <w:rPr>
          <w:rStyle w:val="SourceText"/>
        </w:rPr>
        <w:t>core/                    # platform: no domain concepts</w:t>
      </w:r>
    </w:p>
    <w:p>
      <w:pPr>
        <w:pStyle w:val="PreformattedTextcode"/>
        <w:bidi w:val="0"/>
        <w:jc w:val="left"/>
        <w:rPr/>
      </w:pPr>
      <w:r>
        <w:rPr>
          <w:rStyle w:val="SourceText"/>
        </w:rPr>
        <w:t xml:space="preserve">    │   ├── </w:t>
      </w:r>
      <w:r>
        <w:rPr>
          <w:rStyle w:val="SourceText"/>
        </w:rPr>
        <w:t>models.py            #   BaseModel, AuditEntry, OutboxEvent, IdempotencyKey</w:t>
      </w:r>
    </w:p>
    <w:p>
      <w:pPr>
        <w:pStyle w:val="PreformattedTextcode"/>
        <w:bidi w:val="0"/>
        <w:jc w:val="left"/>
        <w:rPr/>
      </w:pPr>
      <w:r>
        <w:rPr>
          <w:rStyle w:val="SourceText"/>
        </w:rPr>
        <w:t xml:space="preserve">    │   ├── </w:t>
      </w:r>
      <w:r>
        <w:rPr>
          <w:rStyle w:val="SourceText"/>
        </w:rPr>
        <w:t>audit.py  outbox.py  idempotency.py  errors.py</w:t>
      </w:r>
    </w:p>
    <w:p>
      <w:pPr>
        <w:pStyle w:val="PreformattedTextcode"/>
        <w:bidi w:val="0"/>
        <w:jc w:val="left"/>
        <w:rPr/>
      </w:pPr>
      <w:r>
        <w:rPr>
          <w:rStyle w:val="SourceText"/>
        </w:rPr>
        <w:t xml:space="preserve">    │   └── </w:t>
      </w:r>
      <w:r>
        <w:rPr>
          <w:rStyle w:val="SourceText"/>
        </w:rPr>
        <w:t>events.py            #   event base class + registry</w:t>
      </w:r>
    </w:p>
    <w:p>
      <w:pPr>
        <w:pStyle w:val="PreformattedTextcode"/>
        <w:bidi w:val="0"/>
        <w:jc w:val="left"/>
        <w:rPr/>
      </w:pPr>
      <w:r>
        <w:rPr>
          <w:rStyle w:val="SourceText"/>
        </w:rPr>
        <w:t xml:space="preserve">    ├── </w:t>
      </w:r>
      <w:r>
        <w:rPr>
          <w:rStyle w:val="SourceText"/>
        </w:rPr>
        <w:t>identity/</w:t>
      </w:r>
    </w:p>
    <w:p>
      <w:pPr>
        <w:pStyle w:val="PreformattedTextcode"/>
        <w:bidi w:val="0"/>
        <w:jc w:val="left"/>
        <w:rPr/>
      </w:pPr>
      <w:r>
        <w:rPr>
          <w:rStyle w:val="SourceText"/>
        </w:rPr>
        <w:t xml:space="preserve">    │   ├── </w:t>
      </w:r>
      <w:r>
        <w:rPr>
          <w:rStyle w:val="SourceText"/>
        </w:rPr>
        <w:t>models.py            #   User, Invitation</w:t>
      </w:r>
    </w:p>
    <w:p>
      <w:pPr>
        <w:pStyle w:val="PreformattedTextcode"/>
        <w:bidi w:val="0"/>
        <w:jc w:val="left"/>
        <w:rPr/>
      </w:pPr>
      <w:r>
        <w:rPr>
          <w:rStyle w:val="SourceText"/>
        </w:rPr>
        <w:t xml:space="preserve">    │   ├── </w:t>
      </w:r>
      <w:r>
        <w:rPr>
          <w:rStyle w:val="SourceText"/>
        </w:rPr>
        <w:t>scope.py             #   resolve_scope() — the single implementation (AUTH-001)</w:t>
      </w:r>
    </w:p>
    <w:p>
      <w:pPr>
        <w:pStyle w:val="PreformattedTextcode"/>
        <w:bidi w:val="0"/>
        <w:jc w:val="left"/>
        <w:rPr/>
      </w:pPr>
      <w:r>
        <w:rPr>
          <w:rStyle w:val="SourceText"/>
        </w:rPr>
        <w:t xml:space="preserve">    │   ├── </w:t>
      </w:r>
      <w:r>
        <w:rPr>
          <w:rStyle w:val="SourceText"/>
        </w:rPr>
        <w:t>api.py               #   PUBLIC surface</w:t>
      </w:r>
    </w:p>
    <w:p>
      <w:pPr>
        <w:pStyle w:val="PreformattedTextcode"/>
        <w:bidi w:val="0"/>
        <w:jc w:val="left"/>
        <w:rPr/>
      </w:pPr>
      <w:r>
        <w:rPr>
          <w:rStyle w:val="SourceText"/>
        </w:rPr>
        <w:t xml:space="preserve">    │   └── </w:t>
      </w:r>
      <w:r>
        <w:rPr>
          <w:rStyle w:val="SourceText"/>
        </w:rPr>
        <w:t>permissions.py       #   role x scope checks (Stage 3 Part 8)</w:t>
      </w:r>
    </w:p>
    <w:p>
      <w:pPr>
        <w:pStyle w:val="PreformattedTextcode"/>
        <w:bidi w:val="0"/>
        <w:jc w:val="left"/>
        <w:rPr/>
      </w:pPr>
      <w:r>
        <w:rPr>
          <w:rStyle w:val="SourceText"/>
        </w:rPr>
        <w:t xml:space="preserve">    ├── </w:t>
      </w:r>
      <w:r>
        <w:rPr>
          <w:rStyle w:val="SourceText"/>
        </w:rPr>
        <w:t>placements/</w:t>
      </w:r>
    </w:p>
    <w:p>
      <w:pPr>
        <w:pStyle w:val="PreformattedTextcode"/>
        <w:bidi w:val="0"/>
        <w:jc w:val="left"/>
        <w:rPr/>
      </w:pPr>
      <w:r>
        <w:rPr>
          <w:rStyle w:val="SourceText"/>
        </w:rPr>
        <w:t xml:space="preserve">    │   ├── </w:t>
      </w:r>
      <w:r>
        <w:rPr>
          <w:rStyle w:val="SourceText"/>
        </w:rPr>
        <w:t>models.py            #   Placement, StudentAssignment, MentorAssignment,</w:t>
      </w:r>
    </w:p>
    <w:p>
      <w:pPr>
        <w:pStyle w:val="PreformattedTextcode"/>
        <w:bidi w:val="0"/>
        <w:jc w:val="left"/>
        <w:rPr/>
      </w:pPr>
      <w:r>
        <w:rPr>
          <w:rStyle w:val="SourceText"/>
        </w:rPr>
        <w:t xml:space="preserve">    │   │                        </w:t>
      </w:r>
      <w:r>
        <w:rPr>
          <w:rStyle w:val="SourceText"/>
        </w:rPr>
        <w:t>#   WardAssignment, PauseInterval</w:t>
      </w:r>
    </w:p>
    <w:p>
      <w:pPr>
        <w:pStyle w:val="PreformattedTextcode"/>
        <w:bidi w:val="0"/>
        <w:jc w:val="left"/>
        <w:rPr/>
      </w:pPr>
      <w:r>
        <w:rPr>
          <w:rStyle w:val="SourceText"/>
        </w:rPr>
        <w:t xml:space="preserve">    │   ├── </w:t>
      </w:r>
      <w:r>
        <w:rPr>
          <w:rStyle w:val="SourceText"/>
        </w:rPr>
        <w:t>state_machine.py     #   the transition table, guards, T-01..T-17</w:t>
      </w:r>
    </w:p>
    <w:p>
      <w:pPr>
        <w:pStyle w:val="PreformattedTextcode"/>
        <w:bidi w:val="0"/>
        <w:jc w:val="left"/>
        <w:rPr/>
      </w:pPr>
      <w:r>
        <w:rPr>
          <w:rStyle w:val="SourceText"/>
        </w:rPr>
        <w:t xml:space="preserve">    │   ├── </w:t>
      </w:r>
      <w:r>
        <w:rPr>
          <w:rStyle w:val="SourceText"/>
        </w:rPr>
        <w:t>services.py          #   command handlers (internal)</w:t>
      </w:r>
    </w:p>
    <w:p>
      <w:pPr>
        <w:pStyle w:val="PreformattedTextcode"/>
        <w:bidi w:val="0"/>
        <w:jc w:val="left"/>
        <w:rPr/>
      </w:pPr>
      <w:r>
        <w:rPr>
          <w:rStyle w:val="SourceText"/>
        </w:rPr>
        <w:t xml:space="preserve">    │   ├── </w:t>
      </w:r>
      <w:r>
        <w:rPr>
          <w:rStyle w:val="SourceText"/>
        </w:rPr>
        <w:t>ports.py             #   CompletionBlocker protocol (§8.2)</w:t>
      </w:r>
    </w:p>
    <w:p>
      <w:pPr>
        <w:pStyle w:val="PreformattedTextcode"/>
        <w:bidi w:val="0"/>
        <w:jc w:val="left"/>
        <w:rPr/>
      </w:pPr>
      <w:r>
        <w:rPr>
          <w:rStyle w:val="SourceText"/>
        </w:rPr>
        <w:t xml:space="preserve">    │   ├── </w:t>
      </w:r>
      <w:r>
        <w:rPr>
          <w:rStyle w:val="SourceText"/>
        </w:rPr>
        <w:t>api.py               #   PUBLIC surface</w:t>
      </w:r>
    </w:p>
    <w:p>
      <w:pPr>
        <w:pStyle w:val="PreformattedTextcode"/>
        <w:bidi w:val="0"/>
        <w:jc w:val="left"/>
        <w:rPr/>
      </w:pPr>
      <w:r>
        <w:rPr>
          <w:rStyle w:val="SourceText"/>
        </w:rPr>
        <w:t xml:space="preserve">    │   ├── </w:t>
      </w:r>
      <w:r>
        <w:rPr>
          <w:rStyle w:val="SourceText"/>
        </w:rPr>
        <w:t>events.py            #   published event definitions</w:t>
      </w:r>
    </w:p>
    <w:p>
      <w:pPr>
        <w:pStyle w:val="PreformattedTextcode"/>
        <w:bidi w:val="0"/>
        <w:jc w:val="left"/>
        <w:rPr/>
      </w:pPr>
      <w:r>
        <w:rPr>
          <w:rStyle w:val="SourceText"/>
        </w:rPr>
        <w:t xml:space="preserve">    │   └── </w:t>
      </w:r>
      <w:r>
        <w:rPr>
          <w:rStyle w:val="SourceText"/>
        </w:rPr>
        <w:t>serializers.py views.py urls.py</w:t>
      </w:r>
    </w:p>
    <w:p>
      <w:pPr>
        <w:pStyle w:val="PreformattedTextcode"/>
        <w:bidi w:val="0"/>
        <w:jc w:val="left"/>
        <w:rPr/>
      </w:pPr>
      <w:r>
        <w:rPr>
          <w:rStyle w:val="SourceText"/>
        </w:rPr>
        <w:t xml:space="preserve">    ├── </w:t>
      </w:r>
      <w:r>
        <w:rPr>
          <w:rStyle w:val="SourceText"/>
        </w:rPr>
        <w:t>induction/  mentorship/  assessments/  safeguarding/</w:t>
      </w:r>
    </w:p>
    <w:p>
      <w:pPr>
        <w:pStyle w:val="PreformattedTextcode"/>
        <w:bidi w:val="0"/>
        <w:jc w:val="left"/>
        <w:rPr/>
      </w:pPr>
      <w:r>
        <w:rPr>
          <w:rStyle w:val="SourceText"/>
        </w:rPr>
        <w:t xml:space="preserve">    ├── </w:t>
      </w:r>
      <w:r>
        <w:rPr>
          <w:rStyle w:val="SourceText"/>
        </w:rPr>
        <w:t>institutions/  facilities/  learning/  content/</w:t>
      </w:r>
    </w:p>
    <w:p>
      <w:pPr>
        <w:pStyle w:val="PreformattedTextcode"/>
        <w:bidi w:val="0"/>
        <w:jc w:val="left"/>
        <w:rPr/>
      </w:pPr>
      <w:r>
        <w:rPr>
          <w:rStyle w:val="SourceText"/>
        </w:rPr>
        <w:t xml:space="preserve">    ├── </w:t>
      </w:r>
      <w:r>
        <w:rPr>
          <w:rStyle w:val="SourceText"/>
        </w:rPr>
        <w:t>analytics/</w:t>
      </w:r>
    </w:p>
    <w:p>
      <w:pPr>
        <w:pStyle w:val="PreformattedTextcode"/>
        <w:bidi w:val="0"/>
        <w:jc w:val="left"/>
        <w:rPr/>
      </w:pPr>
      <w:r>
        <w:rPr>
          <w:rStyle w:val="SourceText"/>
        </w:rPr>
        <w:t xml:space="preserve">    │   ├── </w:t>
      </w:r>
      <w:r>
        <w:rPr>
          <w:rStyle w:val="SourceText"/>
        </w:rPr>
        <w:t>projections/         #   one file per read model</w:t>
      </w:r>
    </w:p>
    <w:p>
      <w:pPr>
        <w:pStyle w:val="PreformattedTextcode"/>
        <w:bidi w:val="0"/>
        <w:jc w:val="left"/>
        <w:rPr/>
      </w:pPr>
      <w:r>
        <w:rPr>
          <w:rStyle w:val="SourceText"/>
        </w:rPr>
        <w:t xml:space="preserve">    │   └── </w:t>
      </w:r>
      <w:r>
        <w:rPr>
          <w:rStyle w:val="SourceText"/>
        </w:rPr>
        <w:t>handlers.py          #   event subscribers</w:t>
      </w:r>
    </w:p>
    <w:p>
      <w:pPr>
        <w:pStyle w:val="PreformattedTextcode"/>
        <w:bidi w:val="0"/>
        <w:jc w:val="left"/>
        <w:rPr/>
      </w:pPr>
      <w:r>
        <w:rPr>
          <w:rStyle w:val="SourceText"/>
        </w:rPr>
        <w:t xml:space="preserve">    └── </w:t>
      </w:r>
      <w:r>
        <w:rPr>
          <w:rStyle w:val="SourceText"/>
        </w:rPr>
        <w:t>notifications/</w:t>
      </w:r>
    </w:p>
    <w:p>
      <w:pPr>
        <w:pStyle w:val="PreformattedTextcode"/>
        <w:bidi w:val="0"/>
        <w:jc w:val="left"/>
        <w:rPr/>
      </w:pPr>
      <w:r>
        <w:rPr>
          <w:rStyle w:val="SourceText"/>
        </w:rPr>
        <w:t xml:space="preserve">        ├── </w:t>
      </w:r>
      <w:r>
        <w:rPr>
          <w:rStyle w:val="SourceText"/>
        </w:rPr>
        <w:t>routing.py           #   which event -&gt; which recipients (WFR-007)</w:t>
      </w:r>
    </w:p>
    <w:p>
      <w:pPr>
        <w:pStyle w:val="PreformattedTextcode"/>
        <w:bidi w:val="0"/>
        <w:spacing w:before="0" w:after="283"/>
        <w:jc w:val="left"/>
        <w:rPr/>
      </w:pPr>
      <w:r>
        <w:rPr>
          <w:rStyle w:val="SourceText"/>
        </w:rPr>
        <w:t xml:space="preserve">        └── </w:t>
      </w:r>
      <w:r>
        <w:rPr>
          <w:rStyle w:val="SourceText"/>
        </w:rPr>
        <w:t>handlers.py</w:t>
      </w:r>
    </w:p>
    <w:p>
      <w:pPr>
        <w:pStyle w:val="BodyText"/>
        <w:bidi w:val="0"/>
        <w:jc w:val="left"/>
        <w:rPr/>
      </w:pPr>
      <w:r>
        <w:rPr>
          <w:rStyle w:val="Strong"/>
        </w:rPr>
        <w:t xml:space="preserve">The </w:t>
      </w:r>
      <w:r>
        <w:rPr>
          <w:rStyle w:val="SourceText"/>
        </w:rPr>
        <w:t>api.py</w:t>
      </w:r>
      <w:r>
        <w:rPr>
          <w:rStyle w:val="Strong"/>
        </w:rPr>
        <w:t xml:space="preserve"> convention is the whole boundary mechanism.</w:t>
      </w:r>
      <w:r>
        <w:rPr/>
        <w:t xml:space="preserve"> A module's </w:t>
      </w:r>
      <w:r>
        <w:rPr>
          <w:rStyle w:val="SourceText"/>
        </w:rPr>
        <w:t>models.py</w:t>
      </w:r>
      <w:r>
        <w:rPr/>
        <w:t xml:space="preserve">, </w:t>
      </w:r>
      <w:r>
        <w:rPr>
          <w:rStyle w:val="SourceText"/>
        </w:rPr>
        <w:t>services.py</w:t>
      </w:r>
      <w:r>
        <w:rPr/>
        <w:t xml:space="preserve">, and </w:t>
      </w:r>
      <w:r>
        <w:rPr>
          <w:rStyle w:val="SourceText"/>
        </w:rPr>
        <w:t>state_machine.py</w:t>
      </w:r>
      <w:r>
        <w:rPr/>
        <w:t xml:space="preserve"> are internal. Other modules import </w:t>
      </w:r>
      <w:r>
        <w:rPr>
          <w:rStyle w:val="SourceText"/>
        </w:rPr>
        <w:t>api.py</w:t>
      </w:r>
      <w:r>
        <w:rPr/>
        <w:t xml:space="preserve"> and nothing else. This is enforced in CI (§10), not trusted to reviewers.</w:t>
      </w:r>
    </w:p>
    <w:p>
      <w:pPr>
        <w:pStyle w:val="HorizontalLine"/>
        <w:bidi w:val="0"/>
        <w:jc w:val="left"/>
        <w:rPr/>
      </w:pPr>
      <w:r>
        <w:rPr/>
      </w:r>
    </w:p>
    <w:p>
      <w:pPr>
        <w:pStyle w:val="Heading2"/>
        <w:bidi w:val="0"/>
        <w:jc w:val="left"/>
        <w:rPr/>
      </w:pPr>
      <w:r>
        <w:rPr/>
        <w:t>7. How Modules Communicate</w:t>
      </w:r>
    </w:p>
    <w:p>
      <w:pPr>
        <w:pStyle w:val="BodyText"/>
        <w:bidi w:val="0"/>
        <w:jc w:val="left"/>
        <w:rPr/>
      </w:pPr>
      <w:r>
        <w:rPr/>
        <w:t>Exactly three mechanisms are permitted. Anything else is a boundary violation.</w:t>
      </w:r>
    </w:p>
    <w:p>
      <w:pPr>
        <w:pStyle w:val="Heading3"/>
        <w:bidi w:val="0"/>
        <w:jc w:val="left"/>
        <w:rPr/>
      </w:pPr>
      <w:r>
        <w:rPr/>
        <w:t xml:space="preserve">7.1 Synchronous read — downward, through </w:t>
      </w:r>
      <w:r>
        <w:rPr>
          <w:rStyle w:val="SourceText"/>
        </w:rPr>
        <w:t>api.py</w:t>
      </w:r>
    </w:p>
    <w:p>
      <w:pPr>
        <w:pStyle w:val="BodyText"/>
        <w:bidi w:val="0"/>
        <w:jc w:val="left"/>
        <w:rPr/>
      </w:pPr>
      <w:r>
        <w:rPr/>
        <w:t xml:space="preserve">For a guard that must be correct </w:t>
      </w:r>
      <w:r>
        <w:rPr>
          <w:rStyle w:val="Strong"/>
        </w:rPr>
        <w:t>now</w:t>
      </w:r>
      <w:r>
        <w:rPr/>
        <w:t>: is the placement active, is this the assigned mentor, has the mentor completed required training.</w:t>
      </w:r>
    </w:p>
    <w:p>
      <w:pPr>
        <w:pStyle w:val="PreformattedTextcode"/>
        <w:bidi w:val="0"/>
        <w:jc w:val="left"/>
        <w:rPr/>
      </w:pPr>
      <w:r>
        <w:rPr>
          <w:rStyle w:val="SourceText"/>
        </w:rPr>
        <w:t># mentorship/services.py</w:t>
      </w:r>
    </w:p>
    <w:p>
      <w:pPr>
        <w:pStyle w:val="PreformattedTextcode"/>
        <w:bidi w:val="0"/>
        <w:jc w:val="left"/>
        <w:rPr/>
      </w:pPr>
      <w:r>
        <w:rPr>
          <w:rStyle w:val="SourceText"/>
        </w:rPr>
        <w:t>from apps.placements import api as placements     # downward, public surface only</w:t>
      </w:r>
    </w:p>
    <w:p>
      <w:pPr>
        <w:pStyle w:val="PreformattedTextcode"/>
        <w:bidi w:val="0"/>
        <w:jc w:val="left"/>
        <w:rPr/>
      </w:pPr>
      <w:r>
        <w:rPr/>
      </w:r>
    </w:p>
    <w:p>
      <w:pPr>
        <w:pStyle w:val="PreformattedTextcode"/>
        <w:bidi w:val="0"/>
        <w:jc w:val="left"/>
        <w:rPr/>
      </w:pPr>
      <w:r>
        <w:rPr>
          <w:rStyle w:val="SourceText"/>
        </w:rPr>
        <w:t>def log_session(cmd, actor):</w:t>
      </w:r>
    </w:p>
    <w:p>
      <w:pPr>
        <w:pStyle w:val="PreformattedTextcode"/>
        <w:bidi w:val="0"/>
        <w:jc w:val="left"/>
        <w:rPr/>
      </w:pPr>
      <w:r>
        <w:rPr>
          <w:rStyle w:val="SourceText"/>
        </w:rPr>
        <w:t xml:space="preserve">    </w:t>
      </w:r>
      <w:r>
        <w:rPr>
          <w:rStyle w:val="SourceText"/>
        </w:rPr>
        <w:t>if not placements.is_active(cmd.placement_id):          # INV-05</w:t>
      </w:r>
    </w:p>
    <w:p>
      <w:pPr>
        <w:pStyle w:val="PreformattedTextcode"/>
        <w:bidi w:val="0"/>
        <w:jc w:val="left"/>
        <w:rPr/>
      </w:pPr>
      <w:r>
        <w:rPr>
          <w:rStyle w:val="SourceText"/>
        </w:rPr>
        <w:t xml:space="preserve">        </w:t>
      </w:r>
      <w:r>
        <w:rPr>
          <w:rStyle w:val="SourceText"/>
        </w:rPr>
        <w:t>raise PlacementNotActive</w:t>
      </w:r>
    </w:p>
    <w:p>
      <w:pPr>
        <w:pStyle w:val="PreformattedTextcode"/>
        <w:bidi w:val="0"/>
        <w:jc w:val="left"/>
        <w:rPr/>
      </w:pPr>
      <w:r>
        <w:rPr>
          <w:rStyle w:val="SourceText"/>
        </w:rPr>
        <w:t xml:space="preserve">    </w:t>
      </w:r>
      <w:r>
        <w:rPr>
          <w:rStyle w:val="SourceText"/>
        </w:rPr>
        <w:t>assignment = placements.active_mentor_assignment(cmd.placement_id)</w:t>
      </w:r>
    </w:p>
    <w:p>
      <w:pPr>
        <w:pStyle w:val="PreformattedTextcode"/>
        <w:bidi w:val="0"/>
        <w:jc w:val="left"/>
        <w:rPr/>
      </w:pPr>
      <w:r>
        <w:rPr>
          <w:rStyle w:val="SourceText"/>
        </w:rPr>
        <w:t xml:space="preserve">    </w:t>
      </w:r>
      <w:r>
        <w:rPr>
          <w:rStyle w:val="SourceText"/>
        </w:rPr>
        <w:t>if assignment.mentor_id != actor.id:                    # WFR-011</w:t>
      </w:r>
    </w:p>
    <w:p>
      <w:pPr>
        <w:pStyle w:val="PreformattedTextcode"/>
        <w:bidi w:val="0"/>
        <w:spacing w:before="0" w:after="283"/>
        <w:jc w:val="left"/>
        <w:rPr/>
      </w:pPr>
      <w:r>
        <w:rPr>
          <w:rStyle w:val="SourceText"/>
        </w:rPr>
        <w:t xml:space="preserve">        </w:t>
      </w:r>
      <w:r>
        <w:rPr>
          <w:rStyle w:val="SourceText"/>
        </w:rPr>
        <w:t>raise UnauthorizedFacilityAccess</w:t>
      </w:r>
    </w:p>
    <w:p>
      <w:pPr>
        <w:pStyle w:val="BodyText"/>
        <w:bidi w:val="0"/>
        <w:jc w:val="left"/>
        <w:rPr/>
      </w:pPr>
      <w:r>
        <w:rPr/>
        <w:t>Rules: read-only, no side effects, must be safe to call inside a transaction, and returns value objects rather than ORM instances — so a caller cannot save something it does not own.</w:t>
      </w:r>
    </w:p>
    <w:p>
      <w:pPr>
        <w:pStyle w:val="Heading3"/>
        <w:bidi w:val="0"/>
        <w:jc w:val="left"/>
        <w:rPr/>
      </w:pPr>
      <w:r>
        <w:rPr/>
        <w:t xml:space="preserve">7.2 Synchronous state-change request — downward, only into </w:t>
      </w:r>
      <w:r>
        <w:rPr>
          <w:rStyle w:val="SourceText"/>
        </w:rPr>
        <w:t>placements</w:t>
      </w:r>
    </w:p>
    <w:p>
      <w:pPr>
        <w:pStyle w:val="BodyText"/>
        <w:bidi w:val="0"/>
        <w:jc w:val="left"/>
        <w:rPr/>
      </w:pPr>
      <w:r>
        <w:rPr/>
        <w:t xml:space="preserve">Only for the transaction inventory's cross-context cases (§8.1), and only through </w:t>
      </w:r>
      <w:r>
        <w:rPr>
          <w:rStyle w:val="SourceText"/>
        </w:rPr>
        <w:t>placements.request_transition()</w:t>
      </w:r>
      <w:r>
        <w:rPr/>
        <w:t>, which re-evaluates the guard under the row lock.</w:t>
      </w:r>
    </w:p>
    <w:p>
      <w:pPr>
        <w:pStyle w:val="Heading3"/>
        <w:bidi w:val="0"/>
        <w:jc w:val="left"/>
        <w:rPr/>
      </w:pPr>
      <w:r>
        <w:rPr/>
        <w:t>7.3 Asynchronous event — upward and outward, after commit</w:t>
      </w:r>
    </w:p>
    <w:p>
      <w:pPr>
        <w:pStyle w:val="BodyText"/>
        <w:bidi w:val="0"/>
        <w:jc w:val="left"/>
        <w:rPr/>
      </w:pPr>
      <w:r>
        <w:rPr/>
        <w:t>Everything else. Notifications, projections, progress recomputation, exports. Events are written to the outbox inside the transaction and dispatched after commit (WFR-026).</w:t>
      </w:r>
    </w:p>
    <w:p>
      <w:pPr>
        <w:pStyle w:val="PreformattedTextcode"/>
        <w:bidi w:val="0"/>
        <w:jc w:val="left"/>
        <w:rPr/>
      </w:pPr>
      <w:r>
        <w:rPr>
          <w:rStyle w:val="SourceText"/>
        </w:rPr>
        <w:t># inside the transaction</w:t>
      </w:r>
    </w:p>
    <w:p>
      <w:pPr>
        <w:pStyle w:val="PreformattedTextcode"/>
        <w:bidi w:val="0"/>
        <w:jc w:val="left"/>
        <w:rPr/>
      </w:pPr>
      <w:r>
        <w:rPr>
          <w:rStyle w:val="SourceText"/>
        </w:rPr>
        <w:t>outbox.publish(SessionLogged(placement_id=..., mentor_id=..., session_id=...))</w:t>
      </w:r>
    </w:p>
    <w:p>
      <w:pPr>
        <w:pStyle w:val="PreformattedTextcode"/>
        <w:bidi w:val="0"/>
        <w:spacing w:before="0" w:after="283"/>
        <w:jc w:val="left"/>
        <w:rPr/>
      </w:pPr>
      <w:r>
        <w:rPr>
          <w:rStyle w:val="SourceText"/>
        </w:rPr>
        <w:t># after COMMIT, a worker delivers it to analytics and notifications</w:t>
      </w:r>
    </w:p>
    <w:p>
      <w:pPr>
        <w:pStyle w:val="BodyText"/>
        <w:bidi w:val="0"/>
        <w:jc w:val="left"/>
        <w:rPr/>
      </w:pPr>
      <w:r>
        <w:rPr/>
        <w:t>Event payload rules, from Stage 3 WFR-025: identifiers and a template key. Never escalation content, never individual feedback text, never session free text. A payload that would embarrass us in a log file is a defect.</w:t>
      </w:r>
    </w:p>
    <w:p>
      <w:pPr>
        <w:pStyle w:val="Heading3"/>
        <w:bidi w:val="0"/>
        <w:jc w:val="left"/>
        <w:rPr/>
      </w:pPr>
      <w:r>
        <w:rPr/>
        <w:t>7.4 What is forbidden</w:t>
      </w:r>
    </w:p>
    <w:tbl>
      <w:tblPr>
        <w:tblW w:w="17280" w:type="dxa"/>
        <w:jc w:val="left"/>
        <w:tblInd w:w="0" w:type="dxa"/>
        <w:tblLayout w:type="fixed"/>
        <w:tblCellMar>
          <w:top w:w="28" w:type="dxa"/>
          <w:left w:w="28" w:type="dxa"/>
          <w:bottom w:w="28" w:type="dxa"/>
          <w:right w:w="28" w:type="dxa"/>
        </w:tblCellMar>
      </w:tblPr>
      <w:tblGrid>
        <w:gridCol w:w="5449"/>
        <w:gridCol w:w="6753"/>
        <w:gridCol w:w="5078"/>
      </w:tblGrid>
      <w:tr>
        <w:trPr>
          <w:tblHeader w:val="true"/>
        </w:trPr>
        <w:tc>
          <w:tcPr>
            <w:tcW w:w="5449" w:type="dxa"/>
            <w:tcBorders/>
            <w:vAlign w:val="center"/>
          </w:tcPr>
          <w:p>
            <w:pPr>
              <w:pStyle w:val="TableHeading"/>
              <w:suppressLineNumbers/>
              <w:shd w:fill="0D1B33" w:val="clear"/>
              <w:bidi w:val="0"/>
              <w:spacing w:before="0" w:after="283"/>
              <w:jc w:val="left"/>
              <w:rPr/>
            </w:pPr>
            <w:r>
              <w:rPr/>
              <w:t>Forbidden</w:t>
            </w:r>
          </w:p>
        </w:tc>
        <w:tc>
          <w:tcPr>
            <w:tcW w:w="6753" w:type="dxa"/>
            <w:tcBorders/>
            <w:vAlign w:val="center"/>
          </w:tcPr>
          <w:p>
            <w:pPr>
              <w:pStyle w:val="TableHeading"/>
              <w:suppressLineNumbers/>
              <w:shd w:fill="0D1B33" w:val="clear"/>
              <w:bidi w:val="0"/>
              <w:spacing w:before="0" w:after="283"/>
              <w:jc w:val="left"/>
              <w:rPr/>
            </w:pPr>
            <w:r>
              <w:rPr/>
              <w:t>Why</w:t>
            </w:r>
          </w:p>
        </w:tc>
        <w:tc>
          <w:tcPr>
            <w:tcW w:w="5078" w:type="dxa"/>
            <w:tcBorders/>
            <w:vAlign w:val="center"/>
          </w:tcPr>
          <w:p>
            <w:pPr>
              <w:pStyle w:val="TableHeading"/>
              <w:suppressLineNumbers/>
              <w:shd w:fill="0D1B33" w:val="clear"/>
              <w:bidi w:val="0"/>
              <w:spacing w:before="0" w:after="283"/>
              <w:jc w:val="left"/>
              <w:rPr/>
            </w:pPr>
            <w:r>
              <w:rPr/>
              <w:t>Instead</w:t>
            </w:r>
          </w:p>
        </w:tc>
      </w:tr>
      <w:tr>
        <w:trPr/>
        <w:tc>
          <w:tcPr>
            <w:tcW w:w="5449" w:type="dxa"/>
            <w:tcBorders/>
            <w:vAlign w:val="center"/>
          </w:tcPr>
          <w:p>
            <w:pPr>
              <w:pStyle w:val="TableContents"/>
              <w:bidi w:val="0"/>
              <w:spacing w:before="0" w:after="283"/>
              <w:jc w:val="left"/>
              <w:rPr/>
            </w:pPr>
            <w:r>
              <w:rPr/>
              <w:t xml:space="preserve">Importing another module's </w:t>
            </w:r>
            <w:r>
              <w:rPr>
                <w:rStyle w:val="SourceText"/>
              </w:rPr>
              <w:t>models</w:t>
            </w:r>
            <w:r>
              <w:rPr/>
              <w:t xml:space="preserve">, </w:t>
            </w:r>
            <w:r>
              <w:rPr>
                <w:rStyle w:val="SourceText"/>
              </w:rPr>
              <w:t>services</w:t>
            </w:r>
            <w:r>
              <w:rPr/>
              <w:t xml:space="preserve">, or </w:t>
            </w:r>
            <w:r>
              <w:rPr>
                <w:rStyle w:val="SourceText"/>
              </w:rPr>
              <w:t>state_machine</w:t>
            </w:r>
          </w:p>
        </w:tc>
        <w:tc>
          <w:tcPr>
            <w:tcW w:w="6753" w:type="dxa"/>
            <w:tcBorders/>
            <w:vAlign w:val="center"/>
          </w:tcPr>
          <w:p>
            <w:pPr>
              <w:pStyle w:val="TableContents"/>
              <w:bidi w:val="0"/>
              <w:spacing w:before="0" w:after="283"/>
              <w:jc w:val="left"/>
              <w:rPr/>
            </w:pPr>
            <w:r>
              <w:rPr/>
              <w:t>The internals are internal; today's shortcut is tomorrow's coupling</w:t>
            </w:r>
          </w:p>
        </w:tc>
        <w:tc>
          <w:tcPr>
            <w:tcW w:w="5078" w:type="dxa"/>
            <w:tcBorders/>
            <w:vAlign w:val="center"/>
          </w:tcPr>
          <w:p>
            <w:pPr>
              <w:pStyle w:val="TableContents"/>
              <w:bidi w:val="0"/>
              <w:spacing w:before="0" w:after="283"/>
              <w:jc w:val="left"/>
              <w:rPr/>
            </w:pPr>
            <w:r>
              <w:rPr/>
              <w:t xml:space="preserve">Its </w:t>
            </w:r>
            <w:r>
              <w:rPr>
                <w:rStyle w:val="SourceText"/>
              </w:rPr>
              <w:t>api.py</w:t>
            </w:r>
          </w:p>
        </w:tc>
      </w:tr>
      <w:tr>
        <w:trPr/>
        <w:tc>
          <w:tcPr>
            <w:tcW w:w="5449" w:type="dxa"/>
            <w:tcBorders/>
            <w:vAlign w:val="center"/>
          </w:tcPr>
          <w:p>
            <w:pPr>
              <w:pStyle w:val="TableContents"/>
              <w:bidi w:val="0"/>
              <w:spacing w:before="0" w:after="283"/>
              <w:jc w:val="left"/>
              <w:rPr/>
            </w:pPr>
            <w:r>
              <w:rPr/>
              <w:t xml:space="preserve">A cross-module ORM join or </w:t>
            </w:r>
            <w:r>
              <w:rPr>
                <w:rStyle w:val="SourceText"/>
              </w:rPr>
              <w:t>select_related</w:t>
            </w:r>
            <w:r>
              <w:rPr/>
              <w:t xml:space="preserve"> across a boundary</w:t>
            </w:r>
          </w:p>
        </w:tc>
        <w:tc>
          <w:tcPr>
            <w:tcW w:w="6753" w:type="dxa"/>
            <w:tcBorders/>
            <w:vAlign w:val="center"/>
          </w:tcPr>
          <w:p>
            <w:pPr>
              <w:pStyle w:val="TableContents"/>
              <w:bidi w:val="0"/>
              <w:spacing w:before="0" w:after="283"/>
              <w:jc w:val="left"/>
              <w:rPr/>
            </w:pPr>
            <w:r>
              <w:rPr/>
              <w:t>Silently couples the two schemas and defeats extraction</w:t>
            </w:r>
          </w:p>
        </w:tc>
        <w:tc>
          <w:tcPr>
            <w:tcW w:w="5078" w:type="dxa"/>
            <w:tcBorders/>
            <w:vAlign w:val="center"/>
          </w:tcPr>
          <w:p>
            <w:pPr>
              <w:pStyle w:val="TableContents"/>
              <w:bidi w:val="0"/>
              <w:spacing w:before="0" w:after="283"/>
              <w:jc w:val="left"/>
              <w:rPr/>
            </w:pPr>
            <w:r>
              <w:rPr/>
              <w:t xml:space="preserve">Ask the owner via </w:t>
            </w:r>
            <w:r>
              <w:rPr>
                <w:rStyle w:val="SourceText"/>
              </w:rPr>
              <w:t>api.py</w:t>
            </w:r>
            <w:r>
              <w:rPr/>
              <w:t xml:space="preserve">, or read the projection in </w:t>
            </w:r>
            <w:r>
              <w:rPr>
                <w:rStyle w:val="SourceText"/>
              </w:rPr>
              <w:t>analytics</w:t>
            </w:r>
          </w:p>
        </w:tc>
      </w:tr>
      <w:tr>
        <w:trPr/>
        <w:tc>
          <w:tcPr>
            <w:tcW w:w="5449" w:type="dxa"/>
            <w:tcBorders/>
            <w:vAlign w:val="center"/>
          </w:tcPr>
          <w:p>
            <w:pPr>
              <w:pStyle w:val="TableContents"/>
              <w:bidi w:val="0"/>
              <w:spacing w:before="0" w:after="283"/>
              <w:jc w:val="left"/>
              <w:rPr/>
            </w:pPr>
            <w:r>
              <w:rPr/>
              <w:t>Any upward import (a lower layer importing a higher one)</w:t>
            </w:r>
          </w:p>
        </w:tc>
        <w:tc>
          <w:tcPr>
            <w:tcW w:w="6753" w:type="dxa"/>
            <w:tcBorders/>
            <w:vAlign w:val="center"/>
          </w:tcPr>
          <w:p>
            <w:pPr>
              <w:pStyle w:val="TableContents"/>
              <w:bidi w:val="0"/>
              <w:spacing w:before="0" w:after="283"/>
              <w:jc w:val="left"/>
              <w:rPr/>
            </w:pPr>
            <w:r>
              <w:rPr/>
              <w:t>Creates a cycle and inverts ownership</w:t>
            </w:r>
          </w:p>
        </w:tc>
        <w:tc>
          <w:tcPr>
            <w:tcW w:w="5078" w:type="dxa"/>
            <w:tcBorders/>
            <w:vAlign w:val="center"/>
          </w:tcPr>
          <w:p>
            <w:pPr>
              <w:pStyle w:val="TableContents"/>
              <w:bidi w:val="0"/>
              <w:spacing w:before="0" w:after="283"/>
              <w:jc w:val="left"/>
              <w:rPr/>
            </w:pPr>
            <w:r>
              <w:rPr/>
              <w:t>Dependency inversion (§8)</w:t>
            </w:r>
          </w:p>
        </w:tc>
      </w:tr>
      <w:tr>
        <w:trPr/>
        <w:tc>
          <w:tcPr>
            <w:tcW w:w="5449" w:type="dxa"/>
            <w:tcBorders/>
            <w:vAlign w:val="center"/>
          </w:tcPr>
          <w:p>
            <w:pPr>
              <w:pStyle w:val="TableContents"/>
              <w:bidi w:val="0"/>
              <w:spacing w:before="0" w:after="283"/>
              <w:jc w:val="left"/>
              <w:rPr/>
            </w:pPr>
            <w:r>
              <w:rPr/>
              <w:t>A sibling import within layer 3</w:t>
            </w:r>
          </w:p>
        </w:tc>
        <w:tc>
          <w:tcPr>
            <w:tcW w:w="6753" w:type="dxa"/>
            <w:tcBorders/>
            <w:vAlign w:val="center"/>
          </w:tcPr>
          <w:p>
            <w:pPr>
              <w:pStyle w:val="TableContents"/>
              <w:bidi w:val="0"/>
              <w:spacing w:before="0" w:after="283"/>
              <w:jc w:val="left"/>
              <w:rPr/>
            </w:pPr>
            <w:r>
              <w:rPr/>
              <w:t>Children of one aggregate must not know about each other</w:t>
            </w:r>
          </w:p>
        </w:tc>
        <w:tc>
          <w:tcPr>
            <w:tcW w:w="5078" w:type="dxa"/>
            <w:tcBorders/>
            <w:vAlign w:val="center"/>
          </w:tcPr>
          <w:p>
            <w:pPr>
              <w:pStyle w:val="TableContents"/>
              <w:bidi w:val="0"/>
              <w:spacing w:before="0" w:after="283"/>
              <w:jc w:val="left"/>
              <w:rPr/>
            </w:pPr>
            <w:r>
              <w:rPr/>
              <w:t xml:space="preserve">Events, or coordinate through </w:t>
            </w:r>
            <w:r>
              <w:rPr>
                <w:rStyle w:val="SourceText"/>
              </w:rPr>
              <w:t>placements</w:t>
            </w:r>
          </w:p>
        </w:tc>
      </w:tr>
      <w:tr>
        <w:trPr/>
        <w:tc>
          <w:tcPr>
            <w:tcW w:w="5449" w:type="dxa"/>
            <w:tcBorders/>
            <w:vAlign w:val="center"/>
          </w:tcPr>
          <w:p>
            <w:pPr>
              <w:pStyle w:val="TableContents"/>
              <w:bidi w:val="0"/>
              <w:spacing w:before="0" w:after="283"/>
              <w:jc w:val="left"/>
              <w:rPr/>
            </w:pPr>
            <w:r>
              <w:rPr/>
              <w:t xml:space="preserve">Calling </w:t>
            </w:r>
            <w:r>
              <w:rPr>
                <w:rStyle w:val="SourceText"/>
              </w:rPr>
              <w:t>notifications</w:t>
            </w:r>
            <w:r>
              <w:rPr/>
              <w:t xml:space="preserve"> or </w:t>
            </w:r>
            <w:r>
              <w:rPr>
                <w:rStyle w:val="SourceText"/>
              </w:rPr>
              <w:t>analytics</w:t>
            </w:r>
            <w:r>
              <w:rPr/>
              <w:t xml:space="preserve"> directly</w:t>
            </w:r>
          </w:p>
        </w:tc>
        <w:tc>
          <w:tcPr>
            <w:tcW w:w="6753" w:type="dxa"/>
            <w:tcBorders/>
            <w:vAlign w:val="center"/>
          </w:tcPr>
          <w:p>
            <w:pPr>
              <w:pStyle w:val="TableContents"/>
              <w:bidi w:val="0"/>
              <w:spacing w:before="0" w:after="283"/>
              <w:jc w:val="left"/>
              <w:rPr/>
            </w:pPr>
            <w:r>
              <w:rPr/>
              <w:t>Makes side effects part of the write path — the failure WFR-026 exists to prevent</w:t>
            </w:r>
          </w:p>
        </w:tc>
        <w:tc>
          <w:tcPr>
            <w:tcW w:w="5078" w:type="dxa"/>
            <w:tcBorders/>
            <w:vAlign w:val="center"/>
          </w:tcPr>
          <w:p>
            <w:pPr>
              <w:pStyle w:val="TableContents"/>
              <w:bidi w:val="0"/>
              <w:spacing w:before="0" w:after="283"/>
              <w:jc w:val="left"/>
              <w:rPr/>
            </w:pPr>
            <w:r>
              <w:rPr/>
              <w:t>Raise an event</w:t>
            </w:r>
          </w:p>
        </w:tc>
      </w:tr>
      <w:tr>
        <w:trPr/>
        <w:tc>
          <w:tcPr>
            <w:tcW w:w="5449" w:type="dxa"/>
            <w:tcBorders/>
            <w:vAlign w:val="center"/>
          </w:tcPr>
          <w:p>
            <w:pPr>
              <w:pStyle w:val="TableContents"/>
              <w:bidi w:val="0"/>
              <w:spacing w:before="0" w:after="283"/>
              <w:jc w:val="left"/>
              <w:rPr/>
            </w:pPr>
            <w:r>
              <w:rPr/>
              <w:t xml:space="preserve">Emitting an event </w:t>
            </w:r>
            <w:r>
              <w:rPr>
                <w:rStyle w:val="Emphasis"/>
              </w:rPr>
              <w:t>instead of</w:t>
            </w:r>
            <w:r>
              <w:rPr/>
              <w:t xml:space="preserve"> checking a hard guard</w:t>
            </w:r>
          </w:p>
        </w:tc>
        <w:tc>
          <w:tcPr>
            <w:tcW w:w="6753" w:type="dxa"/>
            <w:tcBorders/>
            <w:vAlign w:val="center"/>
          </w:tcPr>
          <w:p>
            <w:pPr>
              <w:pStyle w:val="TableContents"/>
              <w:bidi w:val="0"/>
              <w:spacing w:before="0" w:after="283"/>
              <w:jc w:val="left"/>
              <w:rPr/>
            </w:pPr>
            <w:r>
              <w:rPr/>
              <w:t>Eventual consistency on an invariant is a violated invariant</w:t>
            </w:r>
          </w:p>
        </w:tc>
        <w:tc>
          <w:tcPr>
            <w:tcW w:w="5078" w:type="dxa"/>
            <w:tcBorders/>
            <w:vAlign w:val="center"/>
          </w:tcPr>
          <w:p>
            <w:pPr>
              <w:pStyle w:val="TableContents"/>
              <w:bidi w:val="0"/>
              <w:spacing w:before="0" w:after="283"/>
              <w:jc w:val="left"/>
              <w:rPr/>
            </w:pPr>
            <w:r>
              <w:rPr/>
              <w:t>Synchronous read (§7.1)</w:t>
            </w:r>
          </w:p>
        </w:tc>
      </w:tr>
    </w:tbl>
    <w:p>
      <w:pPr>
        <w:pStyle w:val="BodyText"/>
        <w:bidi w:val="0"/>
        <w:jc w:val="left"/>
        <w:rPr/>
      </w:pPr>
      <w:r>
        <w:rPr/>
        <w:t>The last row is the one to watch in review. "We will just publish an event and let the other module handle it" is correct for a notification and catastrophic for INV-07.</w:t>
      </w:r>
    </w:p>
    <w:p>
      <w:pPr>
        <w:pStyle w:val="Heading3"/>
        <w:bidi w:val="0"/>
        <w:jc w:val="left"/>
        <w:rPr/>
      </w:pPr>
      <w:r>
        <w:rPr/>
        <w:t>7.5 Extraction cost, recorded now</w:t>
      </w:r>
    </w:p>
    <w:p>
      <w:pPr>
        <w:pStyle w:val="BodyText"/>
        <w:bidi w:val="0"/>
        <w:jc w:val="left"/>
        <w:rPr/>
      </w:pPr>
      <w:r>
        <w:rPr/>
        <w:t>If a module were ever extracted into its own service, these are the couplings that would have to be paid for. Recording them means the bill is known rather than discovered:</w:t>
      </w:r>
    </w:p>
    <w:tbl>
      <w:tblPr>
        <w:tblW w:w="15542" w:type="dxa"/>
        <w:jc w:val="left"/>
        <w:tblInd w:w="0" w:type="dxa"/>
        <w:tblLayout w:type="fixed"/>
        <w:tblCellMar>
          <w:top w:w="28" w:type="dxa"/>
          <w:left w:w="28" w:type="dxa"/>
          <w:bottom w:w="28" w:type="dxa"/>
          <w:right w:w="28" w:type="dxa"/>
        </w:tblCellMar>
      </w:tblPr>
      <w:tblGrid>
        <w:gridCol w:w="6001"/>
        <w:gridCol w:w="9541"/>
      </w:tblGrid>
      <w:tr>
        <w:trPr>
          <w:tblHeader w:val="true"/>
        </w:trPr>
        <w:tc>
          <w:tcPr>
            <w:tcW w:w="6001" w:type="dxa"/>
            <w:tcBorders/>
            <w:vAlign w:val="center"/>
          </w:tcPr>
          <w:p>
            <w:pPr>
              <w:pStyle w:val="TableHeading"/>
              <w:suppressLineNumbers/>
              <w:shd w:fill="0D1B33" w:val="clear"/>
              <w:bidi w:val="0"/>
              <w:spacing w:before="0" w:after="283"/>
              <w:jc w:val="left"/>
              <w:rPr/>
            </w:pPr>
            <w:r>
              <w:rPr/>
              <w:t>Coupling</w:t>
            </w:r>
          </w:p>
        </w:tc>
        <w:tc>
          <w:tcPr>
            <w:tcW w:w="9541" w:type="dxa"/>
            <w:tcBorders/>
            <w:vAlign w:val="center"/>
          </w:tcPr>
          <w:p>
            <w:pPr>
              <w:pStyle w:val="TableHeading"/>
              <w:suppressLineNumbers/>
              <w:shd w:fill="0D1B33" w:val="clear"/>
              <w:bidi w:val="0"/>
              <w:spacing w:before="0" w:after="283"/>
              <w:jc w:val="left"/>
              <w:rPr/>
            </w:pPr>
            <w:r>
              <w:rPr/>
              <w:t>Cost on extraction</w:t>
            </w:r>
          </w:p>
        </w:tc>
      </w:tr>
      <w:tr>
        <w:trPr/>
        <w:tc>
          <w:tcPr>
            <w:tcW w:w="6001" w:type="dxa"/>
            <w:tcBorders/>
            <w:vAlign w:val="center"/>
          </w:tcPr>
          <w:p>
            <w:pPr>
              <w:pStyle w:val="TableContents"/>
              <w:bidi w:val="0"/>
              <w:spacing w:before="0" w:after="283"/>
              <w:jc w:val="left"/>
              <w:rPr/>
            </w:pPr>
            <w:r>
              <w:rPr/>
              <w:t xml:space="preserve">Foreign keys from layer-3 tables to </w:t>
            </w:r>
            <w:r>
              <w:rPr>
                <w:rStyle w:val="SourceText"/>
              </w:rPr>
              <w:t>placements.placement.id</w:t>
            </w:r>
          </w:p>
        </w:tc>
        <w:tc>
          <w:tcPr>
            <w:tcW w:w="9541" w:type="dxa"/>
            <w:tcBorders/>
            <w:vAlign w:val="center"/>
          </w:tcPr>
          <w:p>
            <w:pPr>
              <w:pStyle w:val="TableContents"/>
              <w:bidi w:val="0"/>
              <w:spacing w:before="0" w:after="283"/>
              <w:jc w:val="left"/>
              <w:rPr/>
            </w:pPr>
            <w:r>
              <w:rPr/>
              <w:t>Become identifiers with no referential integrity; orphan detection moves into the application</w:t>
            </w:r>
          </w:p>
        </w:tc>
      </w:tr>
      <w:tr>
        <w:trPr/>
        <w:tc>
          <w:tcPr>
            <w:tcW w:w="6001" w:type="dxa"/>
            <w:tcBorders/>
            <w:vAlign w:val="center"/>
          </w:tcPr>
          <w:p>
            <w:pPr>
              <w:pStyle w:val="TableContents"/>
              <w:bidi w:val="0"/>
              <w:spacing w:before="0" w:after="283"/>
              <w:jc w:val="left"/>
              <w:rPr/>
            </w:pPr>
            <w:r>
              <w:rPr/>
              <w:t xml:space="preserve">Foreign keys to </w:t>
            </w:r>
            <w:r>
              <w:rPr>
                <w:rStyle w:val="SourceText"/>
              </w:rPr>
              <w:t>identity.user.id</w:t>
            </w:r>
          </w:p>
        </w:tc>
        <w:tc>
          <w:tcPr>
            <w:tcW w:w="9541" w:type="dxa"/>
            <w:tcBorders/>
            <w:vAlign w:val="center"/>
          </w:tcPr>
          <w:p>
            <w:pPr>
              <w:pStyle w:val="TableContents"/>
              <w:bidi w:val="0"/>
              <w:spacing w:before="0" w:after="283"/>
              <w:jc w:val="left"/>
              <w:rPr/>
            </w:pPr>
            <w:r>
              <w:rPr/>
              <w:t>Same, everywhere</w:t>
            </w:r>
          </w:p>
        </w:tc>
      </w:tr>
      <w:tr>
        <w:trPr/>
        <w:tc>
          <w:tcPr>
            <w:tcW w:w="6001" w:type="dxa"/>
            <w:tcBorders/>
            <w:vAlign w:val="center"/>
          </w:tcPr>
          <w:p>
            <w:pPr>
              <w:pStyle w:val="TableContents"/>
              <w:bidi w:val="0"/>
              <w:spacing w:before="0" w:after="283"/>
              <w:jc w:val="left"/>
              <w:rPr/>
            </w:pPr>
            <w:r>
              <w:rPr>
                <w:rStyle w:val="SourceText"/>
              </w:rPr>
              <w:t>placements.request_transition()</w:t>
            </w:r>
            <w:r>
              <w:rPr/>
              <w:t xml:space="preserve"> called in-transaction by </w:t>
            </w:r>
            <w:r>
              <w:rPr>
                <w:rStyle w:val="SourceText"/>
              </w:rPr>
              <w:t>induction</w:t>
            </w:r>
          </w:p>
        </w:tc>
        <w:tc>
          <w:tcPr>
            <w:tcW w:w="9541" w:type="dxa"/>
            <w:tcBorders/>
            <w:vAlign w:val="center"/>
          </w:tcPr>
          <w:p>
            <w:pPr>
              <w:pStyle w:val="TableContents"/>
              <w:bidi w:val="0"/>
              <w:spacing w:before="0" w:after="283"/>
              <w:jc w:val="left"/>
              <w:rPr/>
            </w:pPr>
            <w:r>
              <w:rPr/>
              <w:t>Becomes a distributed transaction, or a saga with a compensating action</w:t>
            </w:r>
          </w:p>
        </w:tc>
      </w:tr>
      <w:tr>
        <w:trPr/>
        <w:tc>
          <w:tcPr>
            <w:tcW w:w="6001" w:type="dxa"/>
            <w:tcBorders/>
            <w:vAlign w:val="center"/>
          </w:tcPr>
          <w:p>
            <w:pPr>
              <w:pStyle w:val="TableContents"/>
              <w:bidi w:val="0"/>
              <w:spacing w:before="0" w:after="283"/>
              <w:jc w:val="left"/>
              <w:rPr/>
            </w:pPr>
            <w:r>
              <w:rPr/>
              <w:t>The completion-blocker ports (§8.2)</w:t>
            </w:r>
          </w:p>
        </w:tc>
        <w:tc>
          <w:tcPr>
            <w:tcW w:w="9541" w:type="dxa"/>
            <w:tcBorders/>
            <w:vAlign w:val="center"/>
          </w:tcPr>
          <w:p>
            <w:pPr>
              <w:pStyle w:val="TableContents"/>
              <w:bidi w:val="0"/>
              <w:spacing w:before="0" w:after="283"/>
              <w:jc w:val="left"/>
              <w:rPr/>
            </w:pPr>
            <w:r>
              <w:rPr/>
              <w:t>Become synchronous network calls on the completion path, with timeout and failure semantics to define</w:t>
            </w:r>
          </w:p>
        </w:tc>
      </w:tr>
    </w:tbl>
    <w:p>
      <w:pPr>
        <w:pStyle w:val="BodyText"/>
        <w:bidi w:val="0"/>
        <w:jc w:val="left"/>
        <w:rPr/>
      </w:pPr>
      <w:r>
        <w:rPr/>
        <w:t xml:space="preserve">Foreign keys </w:t>
      </w:r>
      <w:r>
        <w:rPr>
          <w:rStyle w:val="Strong"/>
        </w:rPr>
        <w:t>within</w:t>
      </w:r>
      <w:r>
        <w:rPr/>
        <w:t xml:space="preserve"> a module are unconstrained. Foreign keys </w:t>
      </w:r>
      <w:r>
        <w:rPr>
          <w:rStyle w:val="Strong"/>
        </w:rPr>
        <w:t>across</w:t>
      </w:r>
      <w:r>
        <w:rPr/>
        <w:t xml:space="preserve"> modules are limited to </w:t>
      </w:r>
      <w:r>
        <w:rPr>
          <w:rStyle w:val="SourceText"/>
        </w:rPr>
        <w:t>identity.user</w:t>
      </w:r>
      <w:r>
        <w:rPr/>
        <w:t xml:space="preserve"> and </w:t>
      </w:r>
      <w:r>
        <w:rPr>
          <w:rStyle w:val="SourceText"/>
        </w:rPr>
        <w:t>placements.placement</w:t>
      </w:r>
      <w:r>
        <w:rPr/>
        <w:t xml:space="preserve"> — the two identifiers everything legitimately references — and are listed above rather than left implicit.</w:t>
      </w:r>
    </w:p>
    <w:p>
      <w:pPr>
        <w:pStyle w:val="HorizontalLine"/>
        <w:bidi w:val="0"/>
        <w:jc w:val="left"/>
        <w:rPr/>
      </w:pPr>
      <w:r>
        <w:rPr/>
      </w:r>
    </w:p>
    <w:p>
      <w:pPr>
        <w:pStyle w:val="Heading2"/>
        <w:bidi w:val="0"/>
        <w:jc w:val="left"/>
        <w:rPr/>
      </w:pPr>
      <w:r>
        <w:rPr/>
        <w:t>8. Resolving the Two Cross-Boundary Transactions</w:t>
      </w:r>
    </w:p>
    <w:p>
      <w:pPr>
        <w:pStyle w:val="BodyText"/>
        <w:bidi w:val="0"/>
        <w:jc w:val="left"/>
        <w:rPr/>
      </w:pPr>
      <w:r>
        <w:rPr/>
        <w:t>This is the section §1.1 promised. Both cases are solved without merging modules and without weakening a guard.</w:t>
      </w:r>
    </w:p>
    <w:p>
      <w:pPr>
        <w:pStyle w:val="Heading3"/>
        <w:bidi w:val="0"/>
        <w:jc w:val="left"/>
        <w:rPr/>
      </w:pPr>
      <w:r>
        <w:rPr/>
        <w:t>8.1 TX-03 — completing induction activates the placement</w:t>
      </w:r>
    </w:p>
    <w:p>
      <w:pPr>
        <w:pStyle w:val="BodyText"/>
        <w:bidi w:val="0"/>
        <w:jc w:val="left"/>
        <w:rPr/>
      </w:pPr>
      <w:r>
        <w:rPr>
          <w:rStyle w:val="SourceText"/>
        </w:rPr>
        <w:t>induction</w:t>
      </w:r>
      <w:r>
        <w:rPr/>
        <w:t xml:space="preserve"> is layer 3, </w:t>
      </w:r>
      <w:r>
        <w:rPr>
          <w:rStyle w:val="SourceText"/>
        </w:rPr>
        <w:t>placements</w:t>
      </w:r>
      <w:r>
        <w:rPr/>
        <w:t xml:space="preserve"> is layer 2, so the call is </w:t>
      </w:r>
      <w:r>
        <w:rPr>
          <w:rStyle w:val="Strong"/>
        </w:rPr>
        <w:t>downward</w:t>
      </w:r>
      <w:r>
        <w:rPr/>
        <w:t xml:space="preserve"> and legal as written. Induction calls </w:t>
      </w:r>
      <w:r>
        <w:rPr>
          <w:rStyle w:val="SourceText"/>
        </w:rPr>
        <w:t>placements.request_transition(placement_id, ACTIVATE, actor)</w:t>
      </w:r>
      <w:r>
        <w:rPr/>
        <w:t xml:space="preserve"> inside its own transaction. Placement locks its row, re-evaluates INV-02 by asking induction — no. That would be an upward call and a cycle.</w:t>
      </w:r>
    </w:p>
    <w:p>
      <w:pPr>
        <w:pStyle w:val="BodyText"/>
        <w:bidi w:val="0"/>
        <w:jc w:val="left"/>
        <w:rPr/>
      </w:pPr>
      <w:r>
        <w:rPr/>
        <w:t xml:space="preserve">Resolution: </w:t>
      </w:r>
      <w:r>
        <w:rPr>
          <w:rStyle w:val="Strong"/>
        </w:rPr>
        <w:t>the guard's data travels with the request.</w:t>
      </w:r>
      <w:r>
        <w:rPr/>
        <w:t xml:space="preserve"> Induction has just verified that every required item is answered; it passes that verified fact as part of the transition request, and </w:t>
      </w:r>
      <w:r>
        <w:rPr>
          <w:rStyle w:val="SourceText"/>
        </w:rPr>
        <w:t>placements</w:t>
      </w:r>
      <w:r>
        <w:rPr/>
        <w:t xml:space="preserve"> records which module asserted it, in the audit entry.</w:t>
      </w:r>
    </w:p>
    <w:p>
      <w:pPr>
        <w:pStyle w:val="PreformattedTextcode"/>
        <w:bidi w:val="0"/>
        <w:jc w:val="left"/>
        <w:rPr/>
      </w:pPr>
      <w:r>
        <w:rPr>
          <w:rStyle w:val="SourceText"/>
        </w:rPr>
        <w:t># induction/services.py</w:t>
      </w:r>
    </w:p>
    <w:p>
      <w:pPr>
        <w:pStyle w:val="PreformattedTextcode"/>
        <w:bidi w:val="0"/>
        <w:jc w:val="left"/>
        <w:rPr/>
      </w:pPr>
      <w:r>
        <w:rPr>
          <w:rStyle w:val="SourceText"/>
        </w:rPr>
        <w:t>def sign_induction(checklist_id, actor):</w:t>
      </w:r>
    </w:p>
    <w:p>
      <w:pPr>
        <w:pStyle w:val="PreformattedTextcode"/>
        <w:bidi w:val="0"/>
        <w:jc w:val="left"/>
        <w:rPr/>
      </w:pPr>
      <w:r>
        <w:rPr>
          <w:rStyle w:val="SourceText"/>
        </w:rPr>
        <w:t xml:space="preserve">    </w:t>
      </w:r>
      <w:r>
        <w:rPr>
          <w:rStyle w:val="SourceText"/>
        </w:rPr>
        <w:t>with transaction.atomic():</w:t>
      </w:r>
    </w:p>
    <w:p>
      <w:pPr>
        <w:pStyle w:val="PreformattedTextcode"/>
        <w:bidi w:val="0"/>
        <w:jc w:val="left"/>
        <w:rPr/>
      </w:pPr>
      <w:r>
        <w:rPr>
          <w:rStyle w:val="SourceText"/>
        </w:rPr>
        <w:t xml:space="preserve">        </w:t>
      </w:r>
      <w:r>
        <w:rPr>
          <w:rStyle w:val="SourceText"/>
        </w:rPr>
        <w:t>checklist = Checklist.objects.select_for_update().get(id=checklist_id)</w:t>
      </w:r>
    </w:p>
    <w:p>
      <w:pPr>
        <w:pStyle w:val="PreformattedTextcode"/>
        <w:bidi w:val="0"/>
        <w:jc w:val="left"/>
        <w:rPr/>
      </w:pPr>
      <w:r>
        <w:rPr>
          <w:rStyle w:val="SourceText"/>
        </w:rPr>
        <w:t xml:space="preserve">        </w:t>
      </w:r>
      <w:r>
        <w:rPr>
          <w:rStyle w:val="SourceText"/>
        </w:rPr>
        <w:t>if not checklist.all_required_answered():          # INV-02, verified by the owner of the data</w:t>
      </w:r>
    </w:p>
    <w:p>
      <w:pPr>
        <w:pStyle w:val="PreformattedTextcode"/>
        <w:bidi w:val="0"/>
        <w:jc w:val="left"/>
        <w:rPr/>
      </w:pPr>
      <w:r>
        <w:rPr>
          <w:rStyle w:val="SourceText"/>
        </w:rPr>
        <w:t xml:space="preserve">            </w:t>
      </w:r>
      <w:r>
        <w:rPr>
          <w:rStyle w:val="SourceText"/>
        </w:rPr>
        <w:t>raise InductionIncomplete</w:t>
      </w:r>
    </w:p>
    <w:p>
      <w:pPr>
        <w:pStyle w:val="PreformattedTextcode"/>
        <w:bidi w:val="0"/>
        <w:jc w:val="left"/>
        <w:rPr/>
      </w:pPr>
      <w:r>
        <w:rPr>
          <w:rStyle w:val="SourceText"/>
        </w:rPr>
        <w:t xml:space="preserve">        </w:t>
      </w:r>
      <w:r>
        <w:rPr>
          <w:rStyle w:val="SourceText"/>
        </w:rPr>
        <w:t>checklist.mark_complete(actor)</w:t>
      </w:r>
    </w:p>
    <w:p>
      <w:pPr>
        <w:pStyle w:val="PreformattedTextcode"/>
        <w:bidi w:val="0"/>
        <w:jc w:val="left"/>
        <w:rPr/>
      </w:pPr>
      <w:r>
        <w:rPr>
          <w:rStyle w:val="SourceText"/>
        </w:rPr>
        <w:t xml:space="preserve">        </w:t>
      </w:r>
      <w:r>
        <w:rPr>
          <w:rStyle w:val="SourceText"/>
        </w:rPr>
        <w:t>placements.request_transition(                      # downward, same transaction</w:t>
      </w:r>
    </w:p>
    <w:p>
      <w:pPr>
        <w:pStyle w:val="PreformattedTextcode"/>
        <w:bidi w:val="0"/>
        <w:jc w:val="left"/>
        <w:rPr/>
      </w:pPr>
      <w:r>
        <w:rPr>
          <w:rStyle w:val="SourceText"/>
        </w:rPr>
        <w:t xml:space="preserve">            </w:t>
      </w:r>
      <w:r>
        <w:rPr>
          <w:rStyle w:val="SourceText"/>
        </w:rPr>
        <w:t>checklist.placement_id, Transition.ACTIVATE, actor,</w:t>
      </w:r>
    </w:p>
    <w:p>
      <w:pPr>
        <w:pStyle w:val="PreformattedTextcode"/>
        <w:bidi w:val="0"/>
        <w:jc w:val="left"/>
        <w:rPr/>
      </w:pPr>
      <w:r>
        <w:rPr>
          <w:rStyle w:val="SourceText"/>
        </w:rPr>
        <w:t xml:space="preserve">            </w:t>
      </w:r>
      <w:r>
        <w:rPr>
          <w:rStyle w:val="SourceText"/>
        </w:rPr>
        <w:t>asserted_by="induction.sign_induction",</w:t>
      </w:r>
    </w:p>
    <w:p>
      <w:pPr>
        <w:pStyle w:val="PreformattedTextcode"/>
        <w:bidi w:val="0"/>
        <w:jc w:val="left"/>
        <w:rPr/>
      </w:pPr>
      <w:r>
        <w:rPr>
          <w:rStyle w:val="SourceText"/>
        </w:rPr>
        <w:t xml:space="preserve">        </w:t>
      </w:r>
      <w:r>
        <w:rPr>
          <w:rStyle w:val="SourceText"/>
        </w:rPr>
        <w:t>)</w:t>
      </w:r>
    </w:p>
    <w:p>
      <w:pPr>
        <w:pStyle w:val="PreformattedTextcode"/>
        <w:bidi w:val="0"/>
        <w:spacing w:before="0" w:after="283"/>
        <w:jc w:val="left"/>
        <w:rPr/>
      </w:pPr>
      <w:r>
        <w:rPr>
          <w:rStyle w:val="SourceText"/>
        </w:rPr>
        <w:t xml:space="preserve">        </w:t>
      </w:r>
      <w:r>
        <w:rPr>
          <w:rStyle w:val="SourceText"/>
        </w:rPr>
        <w:t>outbox.publish(InductionCompleted(...), PlacementActivated(...))</w:t>
      </w:r>
    </w:p>
    <w:p>
      <w:pPr>
        <w:pStyle w:val="BodyText"/>
        <w:bidi w:val="0"/>
        <w:jc w:val="left"/>
        <w:rPr/>
      </w:pPr>
      <w:r>
        <w:rPr/>
        <w:t xml:space="preserve">Why this is sound rather than a loophole: </w:t>
      </w:r>
      <w:r>
        <w:rPr>
          <w:rStyle w:val="Strong"/>
        </w:rPr>
        <w:t>the module that owns the data evaluates the guard.</w:t>
      </w:r>
      <w:r>
        <w:rPr/>
        <w:t xml:space="preserve"> Only </w:t>
      </w:r>
      <w:r>
        <w:rPr>
          <w:rStyle w:val="SourceText"/>
        </w:rPr>
        <w:t>induction</w:t>
      </w:r>
      <w:r>
        <w:rPr/>
        <w:t xml:space="preserve"> can correctly answer "is this checklist complete", and it does so under its own row lock, in the same transaction as the transition. </w:t>
      </w:r>
      <w:r>
        <w:rPr>
          <w:rStyle w:val="SourceText"/>
        </w:rPr>
        <w:t>placements</w:t>
      </w:r>
      <w:r>
        <w:rPr/>
        <w:t xml:space="preserve"> still owns the transition table and refuses </w:t>
      </w:r>
      <w:r>
        <w:rPr>
          <w:rStyle w:val="SourceText"/>
        </w:rPr>
        <w:t>ACTIVATE</w:t>
      </w:r>
      <w:r>
        <w:rPr/>
        <w:t xml:space="preserve"> from any state other than </w:t>
      </w:r>
      <w:r>
        <w:rPr>
          <w:rStyle w:val="SourceText"/>
        </w:rPr>
        <w:t>Induction</w:t>
      </w:r>
      <w:r>
        <w:rPr/>
        <w:t>. Neither module trusts the other about anything it does not own.</w:t>
      </w:r>
    </w:p>
    <w:p>
      <w:pPr>
        <w:pStyle w:val="Heading3"/>
        <w:bidi w:val="0"/>
        <w:jc w:val="left"/>
        <w:rPr/>
      </w:pPr>
      <w:r>
        <w:rPr/>
        <w:t>8.2 TX-08 — completing a placement requires facts from two higher layers</w:t>
      </w:r>
    </w:p>
    <w:p>
      <w:pPr>
        <w:pStyle w:val="BodyText"/>
        <w:bidi w:val="0"/>
        <w:jc w:val="left"/>
        <w:rPr/>
      </w:pPr>
      <w:r>
        <w:rPr/>
        <w:t xml:space="preserve">Harder. To satisfy INV-07 and INV-08, </w:t>
      </w:r>
      <w:r>
        <w:rPr>
          <w:rStyle w:val="SourceText"/>
        </w:rPr>
        <w:t>placements</w:t>
      </w:r>
      <w:r>
        <w:rPr/>
        <w:t xml:space="preserve"> (layer 2) needs answers from </w:t>
      </w:r>
      <w:r>
        <w:rPr>
          <w:rStyle w:val="SourceText"/>
        </w:rPr>
        <w:t>safeguarding</w:t>
      </w:r>
      <w:r>
        <w:rPr/>
        <w:t xml:space="preserve"> and </w:t>
      </w:r>
      <w:r>
        <w:rPr>
          <w:rStyle w:val="SourceText"/>
        </w:rPr>
        <w:t>assessments</w:t>
      </w:r>
      <w:r>
        <w:rPr/>
        <w:t xml:space="preserve"> (layer 3). An upward import would create exactly the cycle MA-01 forbids.</w:t>
      </w:r>
    </w:p>
    <w:p>
      <w:pPr>
        <w:pStyle w:val="BodyText"/>
        <w:bidi w:val="0"/>
        <w:jc w:val="left"/>
        <w:rPr/>
      </w:pPr>
      <w:r>
        <w:rPr/>
        <w:t>Three options were considered:</w:t>
      </w:r>
    </w:p>
    <w:tbl>
      <w:tblPr>
        <w:tblW w:w="17280" w:type="dxa"/>
        <w:jc w:val="left"/>
        <w:tblInd w:w="0" w:type="dxa"/>
        <w:tblLayout w:type="fixed"/>
        <w:tblCellMar>
          <w:top w:w="28" w:type="dxa"/>
          <w:left w:w="28" w:type="dxa"/>
          <w:bottom w:w="28" w:type="dxa"/>
          <w:right w:w="28" w:type="dxa"/>
        </w:tblCellMar>
      </w:tblPr>
      <w:tblGrid>
        <w:gridCol w:w="5970"/>
        <w:gridCol w:w="11310"/>
      </w:tblGrid>
      <w:tr>
        <w:trPr>
          <w:tblHeader w:val="true"/>
        </w:trPr>
        <w:tc>
          <w:tcPr>
            <w:tcW w:w="5970" w:type="dxa"/>
            <w:tcBorders/>
            <w:vAlign w:val="center"/>
          </w:tcPr>
          <w:p>
            <w:pPr>
              <w:pStyle w:val="TableHeading"/>
              <w:suppressLineNumbers/>
              <w:shd w:fill="0D1B33" w:val="clear"/>
              <w:bidi w:val="0"/>
              <w:spacing w:before="0" w:after="283"/>
              <w:jc w:val="left"/>
              <w:rPr/>
            </w:pPr>
            <w:r>
              <w:rPr/>
              <w:t>Option</w:t>
            </w:r>
          </w:p>
        </w:tc>
        <w:tc>
          <w:tcPr>
            <w:tcW w:w="11310" w:type="dxa"/>
            <w:tcBorders/>
            <w:vAlign w:val="center"/>
          </w:tcPr>
          <w:p>
            <w:pPr>
              <w:pStyle w:val="TableHeading"/>
              <w:suppressLineNumbers/>
              <w:shd w:fill="0D1B33" w:val="clear"/>
              <w:bidi w:val="0"/>
              <w:spacing w:before="0" w:after="283"/>
              <w:jc w:val="left"/>
              <w:rPr/>
            </w:pPr>
            <w:r>
              <w:rPr/>
              <w:t>Verdict</w:t>
            </w:r>
          </w:p>
        </w:tc>
      </w:tr>
      <w:tr>
        <w:trPr/>
        <w:tc>
          <w:tcPr>
            <w:tcW w:w="5970" w:type="dxa"/>
            <w:tcBorders/>
            <w:vAlign w:val="center"/>
          </w:tcPr>
          <w:p>
            <w:pPr>
              <w:pStyle w:val="TableContents"/>
              <w:bidi w:val="0"/>
              <w:spacing w:before="0" w:after="283"/>
              <w:jc w:val="left"/>
              <w:rPr/>
            </w:pPr>
            <w:r>
              <w:rPr/>
              <w:t xml:space="preserve">Upward import from </w:t>
            </w:r>
            <w:r>
              <w:rPr>
                <w:rStyle w:val="SourceText"/>
              </w:rPr>
              <w:t>placements</w:t>
            </w:r>
            <w:r>
              <w:rPr/>
              <w:t xml:space="preserve"> into </w:t>
            </w:r>
            <w:r>
              <w:rPr>
                <w:rStyle w:val="SourceText"/>
              </w:rPr>
              <w:t>safeguarding</w:t>
            </w:r>
            <w:r>
              <w:rPr/>
              <w:t xml:space="preserve"> and </w:t>
            </w:r>
            <w:r>
              <w:rPr>
                <w:rStyle w:val="SourceText"/>
              </w:rPr>
              <w:t>assessments</w:t>
            </w:r>
          </w:p>
        </w:tc>
        <w:tc>
          <w:tcPr>
            <w:tcW w:w="11310" w:type="dxa"/>
            <w:tcBorders/>
            <w:vAlign w:val="center"/>
          </w:tcPr>
          <w:p>
            <w:pPr>
              <w:pStyle w:val="TableContents"/>
              <w:bidi w:val="0"/>
              <w:spacing w:before="0" w:after="283"/>
              <w:jc w:val="left"/>
              <w:rPr/>
            </w:pPr>
            <w:r>
              <w:rPr>
                <w:rStyle w:val="Strong"/>
              </w:rPr>
              <w:t>Rejected.</w:t>
            </w:r>
            <w:r>
              <w:rPr/>
              <w:t xml:space="preserve"> Creates a cycle; the core domain would depend on its own children, and every future child becomes another edge</w:t>
            </w:r>
          </w:p>
        </w:tc>
      </w:tr>
      <w:tr>
        <w:trPr/>
        <w:tc>
          <w:tcPr>
            <w:tcW w:w="5970" w:type="dxa"/>
            <w:tcBorders/>
            <w:vAlign w:val="center"/>
          </w:tcPr>
          <w:p>
            <w:pPr>
              <w:pStyle w:val="TableContents"/>
              <w:bidi w:val="0"/>
              <w:spacing w:before="0" w:after="283"/>
              <w:jc w:val="left"/>
              <w:rPr/>
            </w:pPr>
            <w:r>
              <w:rPr/>
              <w:t>Event-maintained counters on the placement (</w:t>
            </w:r>
            <w:r>
              <w:rPr>
                <w:rStyle w:val="SourceText"/>
              </w:rPr>
              <w:t>open_escalation_count</w:t>
            </w:r>
            <w:r>
              <w:rPr/>
              <w:t>)</w:t>
            </w:r>
          </w:p>
        </w:tc>
        <w:tc>
          <w:tcPr>
            <w:tcW w:w="11310" w:type="dxa"/>
            <w:tcBorders/>
            <w:vAlign w:val="center"/>
          </w:tcPr>
          <w:p>
            <w:pPr>
              <w:pStyle w:val="TableContents"/>
              <w:bidi w:val="0"/>
              <w:spacing w:before="0" w:after="283"/>
              <w:jc w:val="left"/>
              <w:rPr/>
            </w:pPr>
            <w:r>
              <w:rPr>
                <w:rStyle w:val="Strong"/>
              </w:rPr>
              <w:t>Rejected.</w:t>
            </w:r>
            <w:r>
              <w:rPr/>
              <w:t xml:space="preserve"> The counter is eventually consistent. A dispatch lag of one second lets a placement be signed off with an open safeguarding concern. Correctness is not negotiable on INV-07</w:t>
            </w:r>
          </w:p>
        </w:tc>
      </w:tr>
      <w:tr>
        <w:trPr/>
        <w:tc>
          <w:tcPr>
            <w:tcW w:w="5970" w:type="dxa"/>
            <w:tcBorders/>
            <w:vAlign w:val="center"/>
          </w:tcPr>
          <w:p>
            <w:pPr>
              <w:pStyle w:val="TableContents"/>
              <w:bidi w:val="0"/>
              <w:spacing w:before="0" w:after="283"/>
              <w:jc w:val="left"/>
              <w:rPr/>
            </w:pPr>
            <w:r>
              <w:rPr>
                <w:rStyle w:val="Strong"/>
              </w:rPr>
              <w:t xml:space="preserve">Dependency inversion via a port that </w:t>
            </w:r>
            <w:r>
              <w:rPr>
                <w:rStyle w:val="SourceText"/>
              </w:rPr>
              <w:t>placements</w:t>
            </w:r>
            <w:r>
              <w:rPr>
                <w:rStyle w:val="Strong"/>
              </w:rPr>
              <w:t xml:space="preserve"> defines and its children implement</w:t>
            </w:r>
          </w:p>
        </w:tc>
        <w:tc>
          <w:tcPr>
            <w:tcW w:w="11310" w:type="dxa"/>
            <w:tcBorders/>
            <w:vAlign w:val="center"/>
          </w:tcPr>
          <w:p>
            <w:pPr>
              <w:pStyle w:val="TableContents"/>
              <w:bidi w:val="0"/>
              <w:spacing w:before="0" w:after="283"/>
              <w:jc w:val="left"/>
              <w:rPr/>
            </w:pPr>
            <w:r>
              <w:rPr>
                <w:rStyle w:val="Strong"/>
              </w:rPr>
              <w:t>Adopted</w:t>
            </w:r>
          </w:p>
        </w:tc>
      </w:tr>
    </w:tbl>
    <w:p>
      <w:pPr>
        <w:pStyle w:val="BodyText"/>
        <w:bidi w:val="0"/>
        <w:jc w:val="left"/>
        <w:rPr/>
      </w:pPr>
      <w:r>
        <w:rPr>
          <w:rStyle w:val="SourceText"/>
        </w:rPr>
        <w:t>placements</w:t>
      </w:r>
      <w:r>
        <w:rPr/>
        <w:t xml:space="preserve"> defines what it needs, without knowing who satisfies it:</w:t>
      </w:r>
    </w:p>
    <w:p>
      <w:pPr>
        <w:pStyle w:val="PreformattedTextcode"/>
        <w:bidi w:val="0"/>
        <w:jc w:val="left"/>
        <w:rPr/>
      </w:pPr>
      <w:r>
        <w:rPr>
          <w:rStyle w:val="SourceText"/>
        </w:rPr>
        <w:t># placements/ports.py — owned by placements, implemented by others</w:t>
      </w:r>
    </w:p>
    <w:p>
      <w:pPr>
        <w:pStyle w:val="PreformattedTextcode"/>
        <w:bidi w:val="0"/>
        <w:jc w:val="left"/>
        <w:rPr/>
      </w:pPr>
      <w:r>
        <w:rPr>
          <w:rStyle w:val="SourceText"/>
        </w:rPr>
        <w:t>class CompletionBlocker(Protocol):</w:t>
      </w:r>
    </w:p>
    <w:p>
      <w:pPr>
        <w:pStyle w:val="PreformattedTextcode"/>
        <w:bidi w:val="0"/>
        <w:jc w:val="left"/>
        <w:rPr/>
      </w:pPr>
      <w:r>
        <w:rPr>
          <w:rStyle w:val="SourceText"/>
        </w:rPr>
        <w:t xml:space="preserve">    </w:t>
      </w:r>
      <w:r>
        <w:rPr>
          <w:rStyle w:val="SourceText"/>
        </w:rPr>
        <w:t>name: str</w:t>
      </w:r>
    </w:p>
    <w:p>
      <w:pPr>
        <w:pStyle w:val="PreformattedTextcode"/>
        <w:bidi w:val="0"/>
        <w:spacing w:before="0" w:after="283"/>
        <w:jc w:val="left"/>
        <w:rPr/>
      </w:pPr>
      <w:r>
        <w:rPr>
          <w:rStyle w:val="SourceText"/>
        </w:rPr>
        <w:t xml:space="preserve">    </w:t>
      </w:r>
      <w:r>
        <w:rPr>
          <w:rStyle w:val="SourceText"/>
        </w:rPr>
        <w:t>def blocks(self, placement_id) -&gt; BlockReason | None: ...</w:t>
      </w:r>
    </w:p>
    <w:p>
      <w:pPr>
        <w:pStyle w:val="BodyText"/>
        <w:bidi w:val="0"/>
        <w:jc w:val="left"/>
        <w:rPr/>
      </w:pPr>
      <w:r>
        <w:rPr/>
        <w:t>Its children register at application start-up:</w:t>
      </w:r>
    </w:p>
    <w:p>
      <w:pPr>
        <w:pStyle w:val="PreformattedTextcode"/>
        <w:bidi w:val="0"/>
        <w:jc w:val="left"/>
        <w:rPr/>
      </w:pPr>
      <w:r>
        <w:rPr>
          <w:rStyle w:val="SourceText"/>
        </w:rPr>
        <w:t># safeguarding/apps.py</w:t>
      </w:r>
    </w:p>
    <w:p>
      <w:pPr>
        <w:pStyle w:val="PreformattedTextcode"/>
        <w:bidi w:val="0"/>
        <w:jc w:val="left"/>
        <w:rPr/>
      </w:pPr>
      <w:r>
        <w:rPr>
          <w:rStyle w:val="SourceText"/>
        </w:rPr>
        <w:t>def ready(self):</w:t>
      </w:r>
    </w:p>
    <w:p>
      <w:pPr>
        <w:pStyle w:val="PreformattedTextcode"/>
        <w:bidi w:val="0"/>
        <w:jc w:val="left"/>
        <w:rPr/>
      </w:pPr>
      <w:r>
        <w:rPr>
          <w:rStyle w:val="SourceText"/>
        </w:rPr>
        <w:t xml:space="preserve">    </w:t>
      </w:r>
      <w:r>
        <w:rPr>
          <w:rStyle w:val="SourceText"/>
        </w:rPr>
        <w:t>from apps.placements import api as placements</w:t>
      </w:r>
    </w:p>
    <w:p>
      <w:pPr>
        <w:pStyle w:val="PreformattedTextcode"/>
        <w:bidi w:val="0"/>
        <w:jc w:val="left"/>
        <w:rPr/>
      </w:pPr>
      <w:r>
        <w:rPr>
          <w:rStyle w:val="SourceText"/>
        </w:rPr>
        <w:t xml:space="preserve">    </w:t>
      </w:r>
      <w:r>
        <w:rPr>
          <w:rStyle w:val="SourceText"/>
        </w:rPr>
        <w:t>placements.register_completion_blocker(OpenEscalationBlocker())   # INV-07</w:t>
      </w:r>
    </w:p>
    <w:p>
      <w:pPr>
        <w:pStyle w:val="PreformattedTextcode"/>
        <w:bidi w:val="0"/>
        <w:jc w:val="left"/>
        <w:rPr/>
      </w:pPr>
      <w:r>
        <w:rPr/>
      </w:r>
    </w:p>
    <w:p>
      <w:pPr>
        <w:pStyle w:val="PreformattedTextcode"/>
        <w:bidi w:val="0"/>
        <w:jc w:val="left"/>
        <w:rPr/>
      </w:pPr>
      <w:r>
        <w:rPr>
          <w:rStyle w:val="SourceText"/>
        </w:rPr>
        <w:t># assessments/apps.py</w:t>
      </w:r>
    </w:p>
    <w:p>
      <w:pPr>
        <w:pStyle w:val="PreformattedTextcode"/>
        <w:bidi w:val="0"/>
        <w:spacing w:before="0" w:after="283"/>
        <w:jc w:val="left"/>
        <w:rPr/>
      </w:pPr>
      <w:r>
        <w:rPr>
          <w:rStyle w:val="SourceText"/>
        </w:rPr>
        <w:t xml:space="preserve">    </w:t>
      </w:r>
      <w:r>
        <w:rPr>
          <w:rStyle w:val="SourceText"/>
        </w:rPr>
        <w:t>placements.register_completion_blocker(MissingFinalAssessmentBlocker())  # INV-08</w:t>
      </w:r>
    </w:p>
    <w:p>
      <w:pPr>
        <w:pStyle w:val="BodyText"/>
        <w:bidi w:val="0"/>
        <w:jc w:val="left"/>
        <w:rPr/>
      </w:pPr>
      <w:r>
        <w:rPr/>
        <w:t>And the transition consults them synchronously, under the lock:</w:t>
      </w:r>
    </w:p>
    <w:p>
      <w:pPr>
        <w:pStyle w:val="PreformattedTextcode"/>
        <w:bidi w:val="0"/>
        <w:jc w:val="left"/>
        <w:rPr/>
      </w:pPr>
      <w:r>
        <w:rPr>
          <w:rStyle w:val="SourceText"/>
        </w:rPr>
        <w:t># placements/state_machine.py, inside COMPLETE</w:t>
      </w:r>
    </w:p>
    <w:p>
      <w:pPr>
        <w:pStyle w:val="PreformattedTextcode"/>
        <w:bidi w:val="0"/>
        <w:jc w:val="left"/>
        <w:rPr/>
      </w:pPr>
      <w:r>
        <w:rPr>
          <w:rStyle w:val="SourceText"/>
        </w:rPr>
        <w:t>for blocker in registered_blockers:</w:t>
      </w:r>
    </w:p>
    <w:p>
      <w:pPr>
        <w:pStyle w:val="PreformattedTextcode"/>
        <w:bidi w:val="0"/>
        <w:jc w:val="left"/>
        <w:rPr/>
      </w:pPr>
      <w:r>
        <w:rPr>
          <w:rStyle w:val="SourceText"/>
        </w:rPr>
        <w:t xml:space="preserve">    </w:t>
      </w:r>
      <w:r>
        <w:rPr>
          <w:rStyle w:val="SourceText"/>
        </w:rPr>
        <w:t>if reason := blocker.blocks(placement.id):</w:t>
      </w:r>
    </w:p>
    <w:p>
      <w:pPr>
        <w:pStyle w:val="PreformattedTextcode"/>
        <w:bidi w:val="0"/>
        <w:spacing w:before="0" w:after="283"/>
        <w:jc w:val="left"/>
        <w:rPr/>
      </w:pPr>
      <w:r>
        <w:rPr>
          <w:rStyle w:val="SourceText"/>
        </w:rPr>
        <w:t xml:space="preserve">        </w:t>
      </w:r>
      <w:r>
        <w:rPr>
          <w:rStyle w:val="SourceText"/>
        </w:rPr>
        <w:t>raise reason.error          # OpenEscalationBlocksCompletion / FinalAssessmentMissing</w:t>
      </w:r>
    </w:p>
    <w:p>
      <w:pPr>
        <w:pStyle w:val="BodyText"/>
        <w:bidi w:val="0"/>
        <w:jc w:val="left"/>
        <w:rPr/>
      </w:pPr>
      <w:r>
        <w:rPr/>
        <w:t>What this buys:</w:t>
      </w:r>
    </w:p>
    <w:p>
      <w:pPr>
        <w:pStyle w:val="BodyText"/>
        <w:numPr>
          <w:ilvl w:val="0"/>
          <w:numId w:val="3"/>
        </w:numPr>
        <w:tabs>
          <w:tab w:val="clear" w:pos="1134"/>
          <w:tab w:val="left" w:pos="709" w:leader="none"/>
        </w:tabs>
        <w:bidi w:val="0"/>
        <w:spacing w:before="0" w:after="0"/>
        <w:ind w:hanging="283" w:left="709"/>
        <w:jc w:val="left"/>
        <w:rPr/>
      </w:pPr>
      <w:r>
        <w:rPr>
          <w:rStyle w:val="Strong"/>
        </w:rPr>
        <w:t>The dependency points the right way.</w:t>
      </w:r>
      <w:r>
        <w:rPr/>
        <w:t xml:space="preserve"> </w:t>
      </w:r>
      <w:r>
        <w:rPr>
          <w:rStyle w:val="SourceText"/>
        </w:rPr>
        <w:t>safeguarding</w:t>
      </w:r>
      <w:r>
        <w:rPr/>
        <w:t xml:space="preserve"> depends on </w:t>
      </w:r>
      <w:r>
        <w:rPr>
          <w:rStyle w:val="SourceText"/>
        </w:rPr>
        <w:t>placements</w:t>
      </w:r>
      <w:r>
        <w:rPr/>
        <w:t xml:space="preserve">; </w:t>
      </w:r>
      <w:r>
        <w:rPr>
          <w:rStyle w:val="SourceText"/>
        </w:rPr>
        <w:t>placements</w:t>
      </w:r>
      <w:r>
        <w:rPr/>
        <w:t xml:space="preserve"> depends on an interface it owns. No cycle, no upward import. </w:t>
      </w:r>
    </w:p>
    <w:p>
      <w:pPr>
        <w:pStyle w:val="BodyText"/>
        <w:numPr>
          <w:ilvl w:val="0"/>
          <w:numId w:val="3"/>
        </w:numPr>
        <w:tabs>
          <w:tab w:val="clear" w:pos="1134"/>
          <w:tab w:val="left" w:pos="709" w:leader="none"/>
        </w:tabs>
        <w:bidi w:val="0"/>
        <w:spacing w:before="0" w:after="0"/>
        <w:ind w:hanging="283" w:left="709"/>
        <w:jc w:val="left"/>
        <w:rPr/>
      </w:pPr>
      <w:r>
        <w:rPr>
          <w:rStyle w:val="Strong"/>
        </w:rPr>
        <w:t>The guard is synchronous and exact</w:t>
      </w:r>
      <w:r>
        <w:rPr/>
        <w:t xml:space="preserve">, evaluated inside the transaction holding the placement lock. </w:t>
      </w:r>
    </w:p>
    <w:p>
      <w:pPr>
        <w:pStyle w:val="BodyText"/>
        <w:numPr>
          <w:ilvl w:val="0"/>
          <w:numId w:val="3"/>
        </w:numPr>
        <w:tabs>
          <w:tab w:val="clear" w:pos="1134"/>
          <w:tab w:val="left" w:pos="709" w:leader="none"/>
        </w:tabs>
        <w:bidi w:val="0"/>
        <w:ind w:hanging="283" w:left="709"/>
        <w:jc w:val="left"/>
        <w:rPr/>
      </w:pPr>
      <w:r>
        <w:rPr>
          <w:rStyle w:val="Strong"/>
        </w:rPr>
        <w:t>New blockers cost nothing.</w:t>
      </w:r>
      <w:r>
        <w:rPr/>
        <w:t xml:space="preserve"> If a Phase 2 rule says a placement cannot complete with outstanding CPD confirmation, </w:t>
      </w:r>
      <w:r>
        <w:rPr>
          <w:rStyle w:val="SourceText"/>
        </w:rPr>
        <w:t>learning</w:t>
      </w:r>
      <w:r>
        <w:rPr/>
        <w:t xml:space="preserve"> registers a blocker. Nothing in </w:t>
      </w:r>
      <w:r>
        <w:rPr>
          <w:rStyle w:val="SourceText"/>
        </w:rPr>
        <w:t>placements</w:t>
      </w:r>
      <w:r>
        <w:rPr/>
        <w:t xml:space="preserve"> changes — which is the real test of whether a boundary was drawn correctly. </w:t>
      </w:r>
    </w:p>
    <w:p>
      <w:pPr>
        <w:pStyle w:val="BodyText"/>
        <w:bidi w:val="0"/>
        <w:jc w:val="left"/>
        <w:rPr/>
      </w:pPr>
      <w:r>
        <w:rPr/>
        <w:t>One consequence to accept: the set of blockers is assembled at start-up, so a module that fails to register is a silently missing guard. Mitigated by a start-up assertion that the expected blocker names are present, and a test that a placement with an open escalation cannot complete (Stage 3.5 §11 requires the test regardless).</w:t>
      </w:r>
    </w:p>
    <w:p>
      <w:pPr>
        <w:pStyle w:val="HorizontalLine"/>
        <w:bidi w:val="0"/>
        <w:jc w:val="left"/>
        <w:rPr/>
      </w:pPr>
      <w:r>
        <w:rPr/>
      </w:r>
    </w:p>
    <w:p>
      <w:pPr>
        <w:pStyle w:val="Heading2"/>
        <w:bidi w:val="0"/>
        <w:jc w:val="left"/>
        <w:rPr/>
      </w:pPr>
      <w:r>
        <w:rPr/>
        <w:t>9. Read Models: How Dashboards Cross Boundaries Legally</w:t>
      </w:r>
    </w:p>
    <w:p>
      <w:pPr>
        <w:pStyle w:val="BodyText"/>
        <w:bidi w:val="0"/>
        <w:jc w:val="left"/>
        <w:rPr/>
      </w:pPr>
      <w:r>
        <w:rPr/>
        <w:t>Dashboards need data from every module at once — induction completion rate by facility, sessions per student per week, escalation counts by severity, mentor training completion. Fetching that by querying eleven modules per page load is both slow and a boundary violation waiting to happen.</w:t>
      </w:r>
    </w:p>
    <w:p>
      <w:pPr>
        <w:pStyle w:val="BodyText"/>
        <w:bidi w:val="0"/>
        <w:jc w:val="left"/>
        <w:rPr/>
      </w:pPr>
      <w:r>
        <w:rPr>
          <w:rStyle w:val="SourceText"/>
        </w:rPr>
        <w:t>analytics</w:t>
      </w:r>
      <w:r>
        <w:rPr/>
        <w:t xml:space="preserve"> owns </w:t>
      </w:r>
      <w:r>
        <w:rPr>
          <w:rStyle w:val="Strong"/>
        </w:rPr>
        <w:t>projections</w:t>
      </w:r>
      <w:r>
        <w:rPr/>
        <w:t>: read models maintained by event subscription.</w:t>
      </w:r>
    </w:p>
    <w:tbl>
      <w:tblPr>
        <w:tblW w:w="17280" w:type="dxa"/>
        <w:jc w:val="left"/>
        <w:tblInd w:w="0" w:type="dxa"/>
        <w:tblLayout w:type="fixed"/>
        <w:tblCellMar>
          <w:top w:w="28" w:type="dxa"/>
          <w:left w:w="28" w:type="dxa"/>
          <w:bottom w:w="28" w:type="dxa"/>
          <w:right w:w="28" w:type="dxa"/>
        </w:tblCellMar>
      </w:tblPr>
      <w:tblGrid>
        <w:gridCol w:w="2041"/>
        <w:gridCol w:w="3601"/>
        <w:gridCol w:w="11638"/>
      </w:tblGrid>
      <w:tr>
        <w:trPr>
          <w:tblHeader w:val="true"/>
        </w:trPr>
        <w:tc>
          <w:tcPr>
            <w:tcW w:w="2041" w:type="dxa"/>
            <w:tcBorders/>
            <w:vAlign w:val="center"/>
          </w:tcPr>
          <w:p>
            <w:pPr>
              <w:pStyle w:val="TableHeading"/>
              <w:suppressLineNumbers/>
              <w:shd w:fill="0D1B33" w:val="clear"/>
              <w:bidi w:val="0"/>
              <w:spacing w:before="0" w:after="283"/>
              <w:jc w:val="left"/>
              <w:rPr/>
            </w:pPr>
            <w:r>
              <w:rPr/>
              <w:t>Projection</w:t>
            </w:r>
          </w:p>
        </w:tc>
        <w:tc>
          <w:tcPr>
            <w:tcW w:w="3601" w:type="dxa"/>
            <w:tcBorders/>
            <w:vAlign w:val="center"/>
          </w:tcPr>
          <w:p>
            <w:pPr>
              <w:pStyle w:val="TableHeading"/>
              <w:suppressLineNumbers/>
              <w:shd w:fill="0D1B33" w:val="clear"/>
              <w:bidi w:val="0"/>
              <w:spacing w:before="0" w:after="283"/>
              <w:jc w:val="left"/>
              <w:rPr/>
            </w:pPr>
            <w:r>
              <w:rPr/>
              <w:t>Fed by</w:t>
            </w:r>
          </w:p>
        </w:tc>
        <w:tc>
          <w:tcPr>
            <w:tcW w:w="11638" w:type="dxa"/>
            <w:tcBorders/>
            <w:vAlign w:val="center"/>
          </w:tcPr>
          <w:p>
            <w:pPr>
              <w:pStyle w:val="TableHeading"/>
              <w:suppressLineNumbers/>
              <w:shd w:fill="0D1B33" w:val="clear"/>
              <w:bidi w:val="0"/>
              <w:spacing w:before="0" w:after="283"/>
              <w:jc w:val="left"/>
              <w:rPr/>
            </w:pPr>
            <w:r>
              <w:rPr/>
              <w:t>Serves</w:t>
            </w:r>
          </w:p>
        </w:tc>
      </w:tr>
      <w:tr>
        <w:trPr/>
        <w:tc>
          <w:tcPr>
            <w:tcW w:w="2041" w:type="dxa"/>
            <w:tcBorders/>
            <w:vAlign w:val="center"/>
          </w:tcPr>
          <w:p>
            <w:pPr>
              <w:pStyle w:val="TableContents"/>
              <w:bidi w:val="0"/>
              <w:spacing w:before="0" w:after="283"/>
              <w:jc w:val="left"/>
              <w:rPr/>
            </w:pPr>
            <w:r>
              <w:rPr>
                <w:rStyle w:val="SourceText"/>
              </w:rPr>
              <w:t>PlacementSummary</w:t>
            </w:r>
          </w:p>
        </w:tc>
        <w:tc>
          <w:tcPr>
            <w:tcW w:w="3601" w:type="dxa"/>
            <w:tcBorders/>
            <w:vAlign w:val="center"/>
          </w:tcPr>
          <w:p>
            <w:pPr>
              <w:pStyle w:val="TableContents"/>
              <w:bidi w:val="0"/>
              <w:spacing w:before="0" w:after="283"/>
              <w:jc w:val="left"/>
              <w:rPr/>
            </w:pPr>
            <w:r>
              <w:rPr/>
              <w:t>Placement, induction, mentorship, assessment events</w:t>
            </w:r>
          </w:p>
        </w:tc>
        <w:tc>
          <w:tcPr>
            <w:tcW w:w="11638" w:type="dxa"/>
            <w:tcBorders/>
            <w:vAlign w:val="center"/>
          </w:tcPr>
          <w:p>
            <w:pPr>
              <w:pStyle w:val="TableContents"/>
              <w:bidi w:val="0"/>
              <w:spacing w:before="0" w:after="283"/>
              <w:jc w:val="left"/>
              <w:rPr/>
            </w:pPr>
            <w:r>
              <w:rPr/>
              <w:t>Every dashboard's placement row</w:t>
            </w:r>
          </w:p>
        </w:tc>
      </w:tr>
      <w:tr>
        <w:trPr/>
        <w:tc>
          <w:tcPr>
            <w:tcW w:w="2041" w:type="dxa"/>
            <w:tcBorders/>
            <w:vAlign w:val="center"/>
          </w:tcPr>
          <w:p>
            <w:pPr>
              <w:pStyle w:val="TableContents"/>
              <w:bidi w:val="0"/>
              <w:spacing w:before="0" w:after="283"/>
              <w:jc w:val="left"/>
              <w:rPr/>
            </w:pPr>
            <w:r>
              <w:rPr>
                <w:rStyle w:val="SourceText"/>
              </w:rPr>
              <w:t>FacilityIndicators</w:t>
            </w:r>
          </w:p>
        </w:tc>
        <w:tc>
          <w:tcPr>
            <w:tcW w:w="3601" w:type="dxa"/>
            <w:tcBorders/>
            <w:vAlign w:val="center"/>
          </w:tcPr>
          <w:p>
            <w:pPr>
              <w:pStyle w:val="TableContents"/>
              <w:bidi w:val="0"/>
              <w:spacing w:before="0" w:after="283"/>
              <w:jc w:val="left"/>
              <w:rPr/>
            </w:pPr>
            <w:r>
              <w:rPr/>
              <w:t>All events, grouped by facility</w:t>
            </w:r>
          </w:p>
        </w:tc>
        <w:tc>
          <w:tcPr>
            <w:tcW w:w="11638" w:type="dxa"/>
            <w:tcBorders/>
            <w:vAlign w:val="center"/>
          </w:tcPr>
          <w:p>
            <w:pPr>
              <w:pStyle w:val="TableContents"/>
              <w:bidi w:val="0"/>
              <w:spacing w:before="0" w:after="283"/>
              <w:jc w:val="left"/>
              <w:rPr/>
            </w:pPr>
            <w:r>
              <w:rPr/>
              <w:t>Nurse Manager dashboard, facility export</w:t>
            </w:r>
          </w:p>
        </w:tc>
      </w:tr>
      <w:tr>
        <w:trPr/>
        <w:tc>
          <w:tcPr>
            <w:tcW w:w="2041" w:type="dxa"/>
            <w:tcBorders/>
            <w:vAlign w:val="center"/>
          </w:tcPr>
          <w:p>
            <w:pPr>
              <w:pStyle w:val="TableContents"/>
              <w:bidi w:val="0"/>
              <w:spacing w:before="0" w:after="283"/>
              <w:jc w:val="left"/>
              <w:rPr/>
            </w:pPr>
            <w:r>
              <w:rPr>
                <w:rStyle w:val="SourceText"/>
              </w:rPr>
              <w:t>CohortIndicators</w:t>
            </w:r>
          </w:p>
        </w:tc>
        <w:tc>
          <w:tcPr>
            <w:tcW w:w="3601" w:type="dxa"/>
            <w:tcBorders/>
            <w:vAlign w:val="center"/>
          </w:tcPr>
          <w:p>
            <w:pPr>
              <w:pStyle w:val="TableContents"/>
              <w:bidi w:val="0"/>
              <w:spacing w:before="0" w:after="283"/>
              <w:jc w:val="left"/>
              <w:rPr/>
            </w:pPr>
            <w:r>
              <w:rPr/>
              <w:t>All events, grouped by cohort</w:t>
            </w:r>
          </w:p>
        </w:tc>
        <w:tc>
          <w:tcPr>
            <w:tcW w:w="11638" w:type="dxa"/>
            <w:tcBorders/>
            <w:vAlign w:val="center"/>
          </w:tcPr>
          <w:p>
            <w:pPr>
              <w:pStyle w:val="TableContents"/>
              <w:bidi w:val="0"/>
              <w:spacing w:before="0" w:after="283"/>
              <w:jc w:val="left"/>
              <w:rPr/>
            </w:pPr>
            <w:r>
              <w:rPr/>
              <w:t>Coordinator dashboard, institution export</w:t>
            </w:r>
          </w:p>
        </w:tc>
      </w:tr>
      <w:tr>
        <w:trPr/>
        <w:tc>
          <w:tcPr>
            <w:tcW w:w="2041" w:type="dxa"/>
            <w:tcBorders/>
            <w:vAlign w:val="center"/>
          </w:tcPr>
          <w:p>
            <w:pPr>
              <w:pStyle w:val="TableContents"/>
              <w:bidi w:val="0"/>
              <w:spacing w:before="0" w:after="283"/>
              <w:jc w:val="left"/>
              <w:rPr/>
            </w:pPr>
            <w:r>
              <w:rPr>
                <w:rStyle w:val="SourceText"/>
              </w:rPr>
              <w:t>MentorActivity</w:t>
            </w:r>
          </w:p>
        </w:tc>
        <w:tc>
          <w:tcPr>
            <w:tcW w:w="3601" w:type="dxa"/>
            <w:tcBorders/>
            <w:vAlign w:val="center"/>
          </w:tcPr>
          <w:p>
            <w:pPr>
              <w:pStyle w:val="TableContents"/>
              <w:bidi w:val="0"/>
              <w:spacing w:before="0" w:after="283"/>
              <w:jc w:val="left"/>
              <w:rPr/>
            </w:pPr>
            <w:r>
              <w:rPr>
                <w:rStyle w:val="SourceText"/>
              </w:rPr>
              <w:t>SessionLogged</w:t>
            </w:r>
            <w:r>
              <w:rPr/>
              <w:t xml:space="preserve">, </w:t>
            </w:r>
            <w:r>
              <w:rPr>
                <w:rStyle w:val="SourceText"/>
              </w:rPr>
              <w:t>ModuleCompleted</w:t>
            </w:r>
            <w:r>
              <w:rPr/>
              <w:t>, assignment events</w:t>
            </w:r>
          </w:p>
        </w:tc>
        <w:tc>
          <w:tcPr>
            <w:tcW w:w="11638" w:type="dxa"/>
            <w:tcBorders/>
            <w:vAlign w:val="center"/>
          </w:tcPr>
          <w:p>
            <w:pPr>
              <w:pStyle w:val="TableContents"/>
              <w:bidi w:val="0"/>
              <w:spacing w:before="0" w:after="283"/>
              <w:jc w:val="left"/>
              <w:rPr/>
            </w:pPr>
            <w:r>
              <w:rPr/>
              <w:t>Mentor engagement view, CPD summaries</w:t>
            </w:r>
          </w:p>
        </w:tc>
      </w:tr>
      <w:tr>
        <w:trPr/>
        <w:tc>
          <w:tcPr>
            <w:tcW w:w="2041" w:type="dxa"/>
            <w:tcBorders/>
            <w:vAlign w:val="center"/>
          </w:tcPr>
          <w:p>
            <w:pPr>
              <w:pStyle w:val="TableContents"/>
              <w:bidi w:val="0"/>
              <w:spacing w:before="0" w:after="283"/>
              <w:jc w:val="left"/>
              <w:rPr/>
            </w:pPr>
            <w:r>
              <w:rPr>
                <w:rStyle w:val="SourceText"/>
              </w:rPr>
              <w:t>ProgressSummary</w:t>
            </w:r>
          </w:p>
        </w:tc>
        <w:tc>
          <w:tcPr>
            <w:tcW w:w="3601" w:type="dxa"/>
            <w:tcBorders/>
            <w:vAlign w:val="center"/>
          </w:tcPr>
          <w:p>
            <w:pPr>
              <w:pStyle w:val="TableContents"/>
              <w:bidi w:val="0"/>
              <w:spacing w:before="0" w:after="283"/>
              <w:jc w:val="left"/>
              <w:rPr/>
            </w:pPr>
            <w:r>
              <w:rPr/>
              <w:t>Induction, learning, session, assessment events</w:t>
            </w:r>
          </w:p>
        </w:tc>
        <w:tc>
          <w:tcPr>
            <w:tcW w:w="11638" w:type="dxa"/>
            <w:tcBorders/>
            <w:vAlign w:val="center"/>
          </w:tcPr>
          <w:p>
            <w:pPr>
              <w:pStyle w:val="TableContents"/>
              <w:bidi w:val="0"/>
              <w:spacing w:before="0" w:after="283"/>
              <w:jc w:val="left"/>
              <w:rPr/>
            </w:pPr>
            <w:r>
              <w:rPr/>
              <w:t>Progress percentages (WFR-022 — computed, never authored)</w:t>
            </w:r>
          </w:p>
        </w:tc>
      </w:tr>
      <w:tr>
        <w:trPr/>
        <w:tc>
          <w:tcPr>
            <w:tcW w:w="2041" w:type="dxa"/>
            <w:tcBorders/>
            <w:vAlign w:val="center"/>
          </w:tcPr>
          <w:p>
            <w:pPr>
              <w:pStyle w:val="TableContents"/>
              <w:bidi w:val="0"/>
              <w:spacing w:before="0" w:after="283"/>
              <w:jc w:val="left"/>
              <w:rPr/>
            </w:pPr>
            <w:r>
              <w:rPr>
                <w:rStyle w:val="SourceText"/>
              </w:rPr>
              <w:t>InterruptionCauses</w:t>
            </w:r>
          </w:p>
        </w:tc>
        <w:tc>
          <w:tcPr>
            <w:tcW w:w="3601" w:type="dxa"/>
            <w:tcBorders/>
            <w:vAlign w:val="center"/>
          </w:tcPr>
          <w:p>
            <w:pPr>
              <w:pStyle w:val="TableContents"/>
              <w:bidi w:val="0"/>
              <w:spacing w:before="0" w:after="283"/>
              <w:jc w:val="left"/>
              <w:rPr/>
            </w:pPr>
            <w:r>
              <w:rPr>
                <w:rStyle w:val="SourceText"/>
              </w:rPr>
              <w:t>PlacementPaused</w:t>
            </w:r>
            <w:r>
              <w:rPr/>
              <w:t xml:space="preserve">, </w:t>
            </w:r>
            <w:r>
              <w:rPr>
                <w:rStyle w:val="SourceText"/>
              </w:rPr>
              <w:t>PlacementResumed</w:t>
            </w:r>
          </w:p>
        </w:tc>
        <w:tc>
          <w:tcPr>
            <w:tcW w:w="11638" w:type="dxa"/>
            <w:tcBorders/>
            <w:vAlign w:val="center"/>
          </w:tcPr>
          <w:p>
            <w:pPr>
              <w:pStyle w:val="TableContents"/>
              <w:bidi w:val="0"/>
              <w:spacing w:before="0" w:after="283"/>
              <w:jc w:val="left"/>
              <w:rPr/>
            </w:pPr>
            <w:r>
              <w:rPr/>
              <w:t>Days interrupted and causes of interruption by facility and cohort (POL-021) — requested by JKUAT for identifying why training is interrupted</w:t>
            </w:r>
          </w:p>
        </w:tc>
      </w:tr>
      <w:tr>
        <w:trPr/>
        <w:tc>
          <w:tcPr>
            <w:tcW w:w="2041" w:type="dxa"/>
            <w:tcBorders/>
            <w:vAlign w:val="center"/>
          </w:tcPr>
          <w:p>
            <w:pPr>
              <w:pStyle w:val="TableContents"/>
              <w:bidi w:val="0"/>
              <w:spacing w:before="0" w:after="283"/>
              <w:jc w:val="left"/>
              <w:rPr/>
            </w:pPr>
            <w:r>
              <w:rPr>
                <w:rStyle w:val="SourceText"/>
              </w:rPr>
              <w:t>EscalationCounts</w:t>
            </w:r>
          </w:p>
        </w:tc>
        <w:tc>
          <w:tcPr>
            <w:tcW w:w="3601" w:type="dxa"/>
            <w:tcBorders/>
            <w:vAlign w:val="center"/>
          </w:tcPr>
          <w:p>
            <w:pPr>
              <w:pStyle w:val="TableContents"/>
              <w:bidi w:val="0"/>
              <w:spacing w:before="0" w:after="283"/>
              <w:jc w:val="left"/>
              <w:rPr/>
            </w:pPr>
            <w:r>
              <w:rPr/>
              <w:t xml:space="preserve">Safeguarding events — </w:t>
            </w:r>
            <w:r>
              <w:rPr>
                <w:rStyle w:val="Strong"/>
              </w:rPr>
              <w:t>counts and severity only</w:t>
            </w:r>
          </w:p>
        </w:tc>
        <w:tc>
          <w:tcPr>
            <w:tcW w:w="11638" w:type="dxa"/>
            <w:tcBorders/>
            <w:vAlign w:val="center"/>
          </w:tcPr>
          <w:p>
            <w:pPr>
              <w:pStyle w:val="TableContents"/>
              <w:bidi w:val="0"/>
              <w:spacing w:before="0" w:after="283"/>
              <w:jc w:val="left"/>
              <w:rPr/>
            </w:pPr>
            <w:r>
              <w:rPr/>
              <w:t>Dashboards for all authorised roles (POL-019, INV-13)</w:t>
            </w:r>
          </w:p>
        </w:tc>
      </w:tr>
      <w:tr>
        <w:trPr/>
        <w:tc>
          <w:tcPr>
            <w:tcW w:w="2041" w:type="dxa"/>
            <w:tcBorders/>
            <w:vAlign w:val="center"/>
          </w:tcPr>
          <w:p>
            <w:pPr>
              <w:pStyle w:val="TableContents"/>
              <w:bidi w:val="0"/>
              <w:spacing w:before="0" w:after="283"/>
              <w:jc w:val="left"/>
              <w:rPr/>
            </w:pPr>
            <w:r>
              <w:rPr>
                <w:rStyle w:val="SourceText"/>
              </w:rPr>
              <w:t>FeedbackAggregates</w:t>
            </w:r>
          </w:p>
        </w:tc>
        <w:tc>
          <w:tcPr>
            <w:tcW w:w="3601" w:type="dxa"/>
            <w:tcBorders/>
            <w:vAlign w:val="center"/>
          </w:tcPr>
          <w:p>
            <w:pPr>
              <w:pStyle w:val="TableContents"/>
              <w:bidi w:val="0"/>
              <w:spacing w:before="0" w:after="283"/>
              <w:jc w:val="left"/>
              <w:rPr/>
            </w:pPr>
            <w:r>
              <w:rPr/>
              <w:t>Assessment events</w:t>
            </w:r>
          </w:p>
        </w:tc>
        <w:tc>
          <w:tcPr>
            <w:tcW w:w="11638" w:type="dxa"/>
            <w:tcBorders/>
            <w:vAlign w:val="center"/>
          </w:tcPr>
          <w:p>
            <w:pPr>
              <w:pStyle w:val="TableContents"/>
              <w:bidi w:val="0"/>
              <w:spacing w:before="0" w:after="283"/>
              <w:jc w:val="left"/>
              <w:rPr/>
            </w:pPr>
            <w:r>
              <w:rPr/>
              <w:t xml:space="preserve">Mentor-visible summaries. </w:t>
            </w:r>
            <w:r>
              <w:rPr>
                <w:rStyle w:val="Strong"/>
              </w:rPr>
              <w:t>Suppressed below 3 responses per displayed figure, and carries no student-attribute dimensions at all</w:t>
            </w:r>
            <w:r>
              <w:rPr/>
              <w:t xml:space="preserve"> (POL-013, POL-013a) — a projection with a breakdown column is a re-identification tool</w:t>
            </w:r>
          </w:p>
        </w:tc>
      </w:tr>
    </w:tbl>
    <w:p>
      <w:pPr>
        <w:pStyle w:val="BodyText"/>
        <w:bidi w:val="0"/>
        <w:jc w:val="left"/>
        <w:rPr/>
      </w:pPr>
      <w:r>
        <w:rPr/>
        <w:t xml:space="preserve">Rules for </w:t>
      </w:r>
      <w:r>
        <w:rPr>
          <w:rStyle w:val="SourceText"/>
        </w:rPr>
        <w:t>analytics</w:t>
      </w:r>
      <w:r>
        <w:rPr/>
        <w:t>:</w:t>
      </w:r>
    </w:p>
    <w:tbl>
      <w:tblPr>
        <w:tblW w:w="17280" w:type="dxa"/>
        <w:jc w:val="left"/>
        <w:tblInd w:w="0" w:type="dxa"/>
        <w:tblLayout w:type="fixed"/>
        <w:tblCellMar>
          <w:top w:w="28" w:type="dxa"/>
          <w:left w:w="28" w:type="dxa"/>
          <w:bottom w:w="28" w:type="dxa"/>
          <w:right w:w="28" w:type="dxa"/>
        </w:tblCellMar>
      </w:tblPr>
      <w:tblGrid>
        <w:gridCol w:w="667"/>
        <w:gridCol w:w="16613"/>
      </w:tblGrid>
      <w:tr>
        <w:trPr>
          <w:tblHeader w:val="true"/>
        </w:trPr>
        <w:tc>
          <w:tcPr>
            <w:tcW w:w="667" w:type="dxa"/>
            <w:tcBorders/>
            <w:vAlign w:val="center"/>
          </w:tcPr>
          <w:p>
            <w:pPr>
              <w:pStyle w:val="TableHeading"/>
              <w:suppressLineNumbers/>
              <w:shd w:fill="0D1B33" w:val="clear"/>
              <w:bidi w:val="0"/>
              <w:spacing w:before="0" w:after="283"/>
              <w:jc w:val="left"/>
              <w:rPr/>
            </w:pPr>
            <w:r>
              <w:rPr/>
              <w:t>ID</w:t>
            </w:r>
          </w:p>
        </w:tc>
        <w:tc>
          <w:tcPr>
            <w:tcW w:w="16613" w:type="dxa"/>
            <w:tcBorders/>
            <w:vAlign w:val="center"/>
          </w:tcPr>
          <w:p>
            <w:pPr>
              <w:pStyle w:val="TableHeading"/>
              <w:suppressLineNumbers/>
              <w:shd w:fill="0D1B33" w:val="clear"/>
              <w:bidi w:val="0"/>
              <w:spacing w:before="0" w:after="283"/>
              <w:jc w:val="left"/>
              <w:rPr/>
            </w:pPr>
            <w:r>
              <w:rPr/>
              <w:t>Rule</w:t>
            </w:r>
          </w:p>
        </w:tc>
      </w:tr>
      <w:tr>
        <w:trPr/>
        <w:tc>
          <w:tcPr>
            <w:tcW w:w="667" w:type="dxa"/>
            <w:tcBorders/>
            <w:vAlign w:val="center"/>
          </w:tcPr>
          <w:p>
            <w:pPr>
              <w:pStyle w:val="TableContents"/>
              <w:bidi w:val="0"/>
              <w:spacing w:before="0" w:after="283"/>
              <w:jc w:val="left"/>
              <w:rPr/>
            </w:pPr>
            <w:r>
              <w:rPr/>
              <w:t>MA-06</w:t>
            </w:r>
          </w:p>
        </w:tc>
        <w:tc>
          <w:tcPr>
            <w:tcW w:w="16613" w:type="dxa"/>
            <w:tcBorders/>
            <w:vAlign w:val="center"/>
          </w:tcPr>
          <w:p>
            <w:pPr>
              <w:pStyle w:val="TableContents"/>
              <w:bidi w:val="0"/>
              <w:spacing w:before="0" w:after="283"/>
              <w:jc w:val="left"/>
              <w:rPr/>
            </w:pPr>
            <w:r>
              <w:rPr/>
              <w:t>Projections are derived and disposable. Any projection must be rebuildable from the event history plus the domain tables. Nothing is stored there that exists nowhere else</w:t>
            </w:r>
          </w:p>
        </w:tc>
      </w:tr>
      <w:tr>
        <w:trPr/>
        <w:tc>
          <w:tcPr>
            <w:tcW w:w="667" w:type="dxa"/>
            <w:tcBorders/>
            <w:vAlign w:val="center"/>
          </w:tcPr>
          <w:p>
            <w:pPr>
              <w:pStyle w:val="TableContents"/>
              <w:bidi w:val="0"/>
              <w:spacing w:before="0" w:after="283"/>
              <w:jc w:val="left"/>
              <w:rPr/>
            </w:pPr>
            <w:r>
              <w:rPr/>
              <w:t>MA-07</w:t>
            </w:r>
          </w:p>
        </w:tc>
        <w:tc>
          <w:tcPr>
            <w:tcW w:w="16613" w:type="dxa"/>
            <w:tcBorders/>
            <w:vAlign w:val="center"/>
          </w:tcPr>
          <w:p>
            <w:pPr>
              <w:pStyle w:val="TableContents"/>
              <w:bidi w:val="0"/>
              <w:spacing w:before="0" w:after="283"/>
              <w:jc w:val="left"/>
              <w:rPr/>
            </w:pPr>
            <w:r>
              <w:rPr/>
              <w:t xml:space="preserve">Projections are eventually consistent, and that is acceptable </w:t>
            </w:r>
            <w:r>
              <w:rPr>
                <w:rStyle w:val="Strong"/>
              </w:rPr>
              <w:t>because no invariant depends on them</w:t>
            </w:r>
            <w:r>
              <w:rPr/>
              <w:t>. A dashboard one second stale is fine; a completion guard one second stale is not (§8.2)</w:t>
            </w:r>
          </w:p>
        </w:tc>
      </w:tr>
      <w:tr>
        <w:trPr/>
        <w:tc>
          <w:tcPr>
            <w:tcW w:w="667" w:type="dxa"/>
            <w:tcBorders/>
            <w:vAlign w:val="center"/>
          </w:tcPr>
          <w:p>
            <w:pPr>
              <w:pStyle w:val="TableContents"/>
              <w:bidi w:val="0"/>
              <w:spacing w:before="0" w:after="283"/>
              <w:jc w:val="left"/>
              <w:rPr/>
            </w:pPr>
            <w:r>
              <w:rPr/>
              <w:t>MA-08</w:t>
            </w:r>
          </w:p>
        </w:tc>
        <w:tc>
          <w:tcPr>
            <w:tcW w:w="16613" w:type="dxa"/>
            <w:tcBorders/>
            <w:vAlign w:val="center"/>
          </w:tcPr>
          <w:p>
            <w:pPr>
              <w:pStyle w:val="TableContents"/>
              <w:bidi w:val="0"/>
              <w:spacing w:before="0" w:after="283"/>
              <w:jc w:val="left"/>
              <w:rPr/>
            </w:pPr>
            <w:r>
              <w:rPr>
                <w:rStyle w:val="SourceText"/>
              </w:rPr>
              <w:t>analytics</w:t>
            </w:r>
            <w:r>
              <w:rPr/>
              <w:t xml:space="preserve"> applies the same scope filtering and field-level restrictions as the owning module. A projection is not a back door around INV-13 or POL-016 — the export path is where that mistake would be made</w:t>
            </w:r>
          </w:p>
        </w:tc>
      </w:tr>
      <w:tr>
        <w:trPr/>
        <w:tc>
          <w:tcPr>
            <w:tcW w:w="667" w:type="dxa"/>
            <w:tcBorders/>
            <w:vAlign w:val="center"/>
          </w:tcPr>
          <w:p>
            <w:pPr>
              <w:pStyle w:val="TableContents"/>
              <w:bidi w:val="0"/>
              <w:spacing w:before="0" w:after="283"/>
              <w:jc w:val="left"/>
              <w:rPr/>
            </w:pPr>
            <w:r>
              <w:rPr/>
              <w:t>MA-09</w:t>
            </w:r>
          </w:p>
        </w:tc>
        <w:tc>
          <w:tcPr>
            <w:tcW w:w="16613" w:type="dxa"/>
            <w:tcBorders/>
            <w:vAlign w:val="center"/>
          </w:tcPr>
          <w:p>
            <w:pPr>
              <w:pStyle w:val="TableContents"/>
              <w:bidi w:val="0"/>
              <w:spacing w:before="0" w:after="283"/>
              <w:jc w:val="left"/>
              <w:rPr/>
            </w:pPr>
            <w:r>
              <w:rPr/>
              <w:t>Every export writes an export record (actor, scope, filters, row count) in the same transaction as the export, and is audited (TX-09, WFR-032)</w:t>
            </w:r>
          </w:p>
        </w:tc>
      </w:tr>
    </w:tbl>
    <w:p>
      <w:pPr>
        <w:pStyle w:val="BodyText"/>
        <w:bidi w:val="0"/>
        <w:jc w:val="left"/>
        <w:rPr/>
      </w:pPr>
      <w:r>
        <w:rPr/>
        <w:t xml:space="preserve">MA-08 deserves emphasis. Copying data into a read model is exactly how field-level restrictions get lost: the projection is built by a trusted subscriber, and then a report reads it without the serialiser that enforced the restriction. Escalation projections therefore </w:t>
      </w:r>
      <w:r>
        <w:rPr>
          <w:rStyle w:val="Strong"/>
        </w:rPr>
        <w:t xml:space="preserve">never contain </w:t>
      </w:r>
      <w:r>
        <w:rPr>
          <w:rStyle w:val="SourceText"/>
        </w:rPr>
        <w:t>description</w:t>
      </w:r>
      <w:r>
        <w:rPr>
          <w:rStyle w:val="Strong"/>
        </w:rPr>
        <w:t xml:space="preserve"> or </w:t>
      </w:r>
      <w:r>
        <w:rPr>
          <w:rStyle w:val="SourceText"/>
        </w:rPr>
        <w:t>action_taken</w:t>
      </w:r>
      <w:r>
        <w:rPr>
          <w:rStyle w:val="Strong"/>
        </w:rPr>
        <w:t xml:space="preserve"> at all</w:t>
      </w:r>
      <w:r>
        <w:rPr/>
        <w:t>. The safest way not to leak a field is not to have copied it.</w:t>
      </w:r>
    </w:p>
    <w:p>
      <w:pPr>
        <w:pStyle w:val="HorizontalLine"/>
        <w:bidi w:val="0"/>
        <w:jc w:val="left"/>
        <w:rPr/>
      </w:pPr>
      <w:r>
        <w:rPr/>
      </w:r>
    </w:p>
    <w:p>
      <w:pPr>
        <w:pStyle w:val="Heading2"/>
        <w:bidi w:val="0"/>
        <w:jc w:val="left"/>
        <w:rPr/>
      </w:pPr>
      <w:r>
        <w:rPr/>
        <w:t>10. Keeping the Boundaries: Enforcement in CI</w:t>
      </w:r>
    </w:p>
    <w:p>
      <w:pPr>
        <w:pStyle w:val="BodyText"/>
        <w:bidi w:val="0"/>
        <w:jc w:val="left"/>
        <w:rPr/>
      </w:pPr>
      <w:r>
        <w:rPr/>
        <w:t>Without these, §3 through §9 are a description of the first three weeks of the codebase.</w:t>
      </w:r>
    </w:p>
    <w:tbl>
      <w:tblPr>
        <w:tblW w:w="15993" w:type="dxa"/>
        <w:jc w:val="left"/>
        <w:tblInd w:w="0" w:type="dxa"/>
        <w:tblLayout w:type="fixed"/>
        <w:tblCellMar>
          <w:top w:w="28" w:type="dxa"/>
          <w:left w:w="28" w:type="dxa"/>
          <w:bottom w:w="28" w:type="dxa"/>
          <w:right w:w="28" w:type="dxa"/>
        </w:tblCellMar>
      </w:tblPr>
      <w:tblGrid>
        <w:gridCol w:w="691"/>
        <w:gridCol w:w="5281"/>
        <w:gridCol w:w="10021"/>
      </w:tblGrid>
      <w:tr>
        <w:trPr>
          <w:tblHeader w:val="true"/>
        </w:trPr>
        <w:tc>
          <w:tcPr>
            <w:tcW w:w="691" w:type="dxa"/>
            <w:tcBorders/>
            <w:vAlign w:val="center"/>
          </w:tcPr>
          <w:p>
            <w:pPr>
              <w:pStyle w:val="TableHeading"/>
              <w:suppressLineNumbers/>
              <w:shd w:fill="0D1B33" w:val="clear"/>
              <w:bidi w:val="0"/>
              <w:spacing w:before="0" w:after="283"/>
              <w:jc w:val="left"/>
              <w:rPr/>
            </w:pPr>
            <w:r>
              <w:rPr/>
              <w:t>ID</w:t>
            </w:r>
          </w:p>
        </w:tc>
        <w:tc>
          <w:tcPr>
            <w:tcW w:w="5281" w:type="dxa"/>
            <w:tcBorders/>
            <w:vAlign w:val="center"/>
          </w:tcPr>
          <w:p>
            <w:pPr>
              <w:pStyle w:val="TableHeading"/>
              <w:suppressLineNumbers/>
              <w:shd w:fill="0D1B33" w:val="clear"/>
              <w:bidi w:val="0"/>
              <w:spacing w:before="0" w:after="283"/>
              <w:jc w:val="left"/>
              <w:rPr/>
            </w:pPr>
            <w:r>
              <w:rPr/>
              <w:t>Control</w:t>
            </w:r>
          </w:p>
        </w:tc>
        <w:tc>
          <w:tcPr>
            <w:tcW w:w="10021" w:type="dxa"/>
            <w:tcBorders/>
            <w:vAlign w:val="center"/>
          </w:tcPr>
          <w:p>
            <w:pPr>
              <w:pStyle w:val="TableHeading"/>
              <w:suppressLineNumbers/>
              <w:shd w:fill="0D1B33" w:val="clear"/>
              <w:bidi w:val="0"/>
              <w:spacing w:before="0" w:after="283"/>
              <w:jc w:val="left"/>
              <w:rPr/>
            </w:pPr>
            <w:r>
              <w:rPr/>
              <w:t>Mechanism</w:t>
            </w:r>
          </w:p>
        </w:tc>
      </w:tr>
      <w:tr>
        <w:trPr/>
        <w:tc>
          <w:tcPr>
            <w:tcW w:w="691" w:type="dxa"/>
            <w:tcBorders/>
            <w:vAlign w:val="center"/>
          </w:tcPr>
          <w:p>
            <w:pPr>
              <w:pStyle w:val="TableContents"/>
              <w:bidi w:val="0"/>
              <w:spacing w:before="0" w:after="283"/>
              <w:jc w:val="left"/>
              <w:rPr/>
            </w:pPr>
            <w:r>
              <w:rPr/>
              <w:t>MA-10</w:t>
            </w:r>
          </w:p>
        </w:tc>
        <w:tc>
          <w:tcPr>
            <w:tcW w:w="5281" w:type="dxa"/>
            <w:tcBorders/>
            <w:vAlign w:val="center"/>
          </w:tcPr>
          <w:p>
            <w:pPr>
              <w:pStyle w:val="TableContents"/>
              <w:bidi w:val="0"/>
              <w:spacing w:before="0" w:after="283"/>
              <w:jc w:val="left"/>
              <w:rPr/>
            </w:pPr>
            <w:r>
              <w:rPr/>
              <w:t>Layer rules MA-01 to MA-04 are machine-checked</w:t>
            </w:r>
          </w:p>
        </w:tc>
        <w:tc>
          <w:tcPr>
            <w:tcW w:w="10021" w:type="dxa"/>
            <w:tcBorders/>
            <w:vAlign w:val="center"/>
          </w:tcPr>
          <w:p>
            <w:pPr>
              <w:pStyle w:val="TableContents"/>
              <w:bidi w:val="0"/>
              <w:spacing w:before="0" w:after="283"/>
              <w:jc w:val="left"/>
              <w:rPr/>
            </w:pPr>
            <w:r>
              <w:rPr>
                <w:rStyle w:val="SourceText"/>
              </w:rPr>
              <w:t>import-linter</w:t>
            </w:r>
            <w:r>
              <w:rPr/>
              <w:t xml:space="preserve"> layered contract in CI, failing the build on violation</w:t>
            </w:r>
          </w:p>
        </w:tc>
      </w:tr>
      <w:tr>
        <w:trPr/>
        <w:tc>
          <w:tcPr>
            <w:tcW w:w="691" w:type="dxa"/>
            <w:tcBorders/>
            <w:vAlign w:val="center"/>
          </w:tcPr>
          <w:p>
            <w:pPr>
              <w:pStyle w:val="TableContents"/>
              <w:bidi w:val="0"/>
              <w:spacing w:before="0" w:after="283"/>
              <w:jc w:val="left"/>
              <w:rPr/>
            </w:pPr>
            <w:r>
              <w:rPr/>
              <w:t>MA-11</w:t>
            </w:r>
          </w:p>
        </w:tc>
        <w:tc>
          <w:tcPr>
            <w:tcW w:w="5281" w:type="dxa"/>
            <w:tcBorders/>
            <w:vAlign w:val="center"/>
          </w:tcPr>
          <w:p>
            <w:pPr>
              <w:pStyle w:val="TableContents"/>
              <w:bidi w:val="0"/>
              <w:spacing w:before="0" w:after="283"/>
              <w:jc w:val="left"/>
              <w:rPr/>
            </w:pPr>
            <w:r>
              <w:rPr/>
              <w:t xml:space="preserve">Only </w:t>
            </w:r>
            <w:r>
              <w:rPr>
                <w:rStyle w:val="SourceText"/>
              </w:rPr>
              <w:t>api.py</w:t>
            </w:r>
            <w:r>
              <w:rPr/>
              <w:t xml:space="preserve"> and </w:t>
            </w:r>
            <w:r>
              <w:rPr>
                <w:rStyle w:val="SourceText"/>
              </w:rPr>
              <w:t>events.py</w:t>
            </w:r>
            <w:r>
              <w:rPr/>
              <w:t xml:space="preserve"> are importable across modules</w:t>
            </w:r>
          </w:p>
        </w:tc>
        <w:tc>
          <w:tcPr>
            <w:tcW w:w="10021" w:type="dxa"/>
            <w:tcBorders/>
            <w:vAlign w:val="center"/>
          </w:tcPr>
          <w:p>
            <w:pPr>
              <w:pStyle w:val="TableContents"/>
              <w:bidi w:val="0"/>
              <w:spacing w:before="0" w:after="283"/>
              <w:jc w:val="left"/>
              <w:rPr/>
            </w:pPr>
            <w:r>
              <w:rPr>
                <w:rStyle w:val="SourceText"/>
              </w:rPr>
              <w:t>import-linter</w:t>
            </w:r>
            <w:r>
              <w:rPr/>
              <w:t xml:space="preserve"> forbidden-module contracts: </w:t>
            </w:r>
            <w:r>
              <w:rPr>
                <w:rStyle w:val="SourceText"/>
              </w:rPr>
              <w:t>apps.*.models</w:t>
            </w:r>
            <w:r>
              <w:rPr/>
              <w:t xml:space="preserve">, </w:t>
            </w:r>
            <w:r>
              <w:rPr>
                <w:rStyle w:val="SourceText"/>
              </w:rPr>
              <w:t>apps.*.services</w:t>
            </w:r>
            <w:r>
              <w:rPr/>
              <w:t xml:space="preserve">, </w:t>
            </w:r>
            <w:r>
              <w:rPr>
                <w:rStyle w:val="SourceText"/>
              </w:rPr>
              <w:t>apps.*.state_machine</w:t>
            </w:r>
            <w:r>
              <w:rPr/>
              <w:t xml:space="preserve"> are private</w:t>
            </w:r>
          </w:p>
        </w:tc>
      </w:tr>
      <w:tr>
        <w:trPr/>
        <w:tc>
          <w:tcPr>
            <w:tcW w:w="691" w:type="dxa"/>
            <w:tcBorders/>
            <w:vAlign w:val="center"/>
          </w:tcPr>
          <w:p>
            <w:pPr>
              <w:pStyle w:val="TableContents"/>
              <w:bidi w:val="0"/>
              <w:spacing w:before="0" w:after="283"/>
              <w:jc w:val="left"/>
              <w:rPr/>
            </w:pPr>
            <w:r>
              <w:rPr/>
              <w:t>MA-12</w:t>
            </w:r>
          </w:p>
        </w:tc>
        <w:tc>
          <w:tcPr>
            <w:tcW w:w="5281" w:type="dxa"/>
            <w:tcBorders/>
            <w:vAlign w:val="center"/>
          </w:tcPr>
          <w:p>
            <w:pPr>
              <w:pStyle w:val="TableContents"/>
              <w:bidi w:val="0"/>
              <w:spacing w:before="0" w:after="283"/>
              <w:jc w:val="left"/>
              <w:rPr/>
            </w:pPr>
            <w:r>
              <w:rPr/>
              <w:t>No cross-module ORM joins</w:t>
            </w:r>
          </w:p>
        </w:tc>
        <w:tc>
          <w:tcPr>
            <w:tcW w:w="10021" w:type="dxa"/>
            <w:tcBorders/>
            <w:vAlign w:val="center"/>
          </w:tcPr>
          <w:p>
            <w:pPr>
              <w:pStyle w:val="TableContents"/>
              <w:bidi w:val="0"/>
              <w:spacing w:before="0" w:after="283"/>
              <w:jc w:val="left"/>
              <w:rPr/>
            </w:pPr>
            <w:r>
              <w:rPr/>
              <w:t xml:space="preserve">Test asserting every </w:t>
            </w:r>
            <w:r>
              <w:rPr>
                <w:rStyle w:val="SourceText"/>
              </w:rPr>
              <w:t>ForeignKey</w:t>
            </w:r>
            <w:r>
              <w:rPr/>
              <w:t xml:space="preserve"> crossing a module points only at </w:t>
            </w:r>
            <w:r>
              <w:rPr>
                <w:rStyle w:val="SourceText"/>
              </w:rPr>
              <w:t>identity.User</w:t>
            </w:r>
            <w:r>
              <w:rPr/>
              <w:t xml:space="preserve"> or </w:t>
            </w:r>
            <w:r>
              <w:rPr>
                <w:rStyle w:val="SourceText"/>
              </w:rPr>
              <w:t>placements.Placement</w:t>
            </w:r>
            <w:r>
              <w:rPr/>
              <w:t xml:space="preserve"> (§7.5)</w:t>
            </w:r>
          </w:p>
        </w:tc>
      </w:tr>
      <w:tr>
        <w:trPr/>
        <w:tc>
          <w:tcPr>
            <w:tcW w:w="691" w:type="dxa"/>
            <w:tcBorders/>
            <w:vAlign w:val="center"/>
          </w:tcPr>
          <w:p>
            <w:pPr>
              <w:pStyle w:val="TableContents"/>
              <w:bidi w:val="0"/>
              <w:spacing w:before="0" w:after="283"/>
              <w:jc w:val="left"/>
              <w:rPr/>
            </w:pPr>
            <w:r>
              <w:rPr/>
              <w:t>MA-13</w:t>
            </w:r>
          </w:p>
        </w:tc>
        <w:tc>
          <w:tcPr>
            <w:tcW w:w="5281" w:type="dxa"/>
            <w:tcBorders/>
            <w:vAlign w:val="center"/>
          </w:tcPr>
          <w:p>
            <w:pPr>
              <w:pStyle w:val="TableContents"/>
              <w:bidi w:val="0"/>
              <w:spacing w:before="0" w:after="283"/>
              <w:jc w:val="left"/>
              <w:rPr/>
            </w:pPr>
            <w:r>
              <w:rPr/>
              <w:t>No external I/O inside a transaction (WFR-027)</w:t>
            </w:r>
          </w:p>
        </w:tc>
        <w:tc>
          <w:tcPr>
            <w:tcW w:w="10021" w:type="dxa"/>
            <w:tcBorders/>
            <w:vAlign w:val="center"/>
          </w:tcPr>
          <w:p>
            <w:pPr>
              <w:pStyle w:val="TableContents"/>
              <w:bidi w:val="0"/>
              <w:spacing w:before="0" w:after="283"/>
              <w:jc w:val="left"/>
              <w:rPr/>
            </w:pPr>
            <w:r>
              <w:rPr/>
              <w:t>Test fixture that fails any test whose transaction block performs HTTP or email I/O</w:t>
            </w:r>
          </w:p>
        </w:tc>
      </w:tr>
      <w:tr>
        <w:trPr/>
        <w:tc>
          <w:tcPr>
            <w:tcW w:w="691" w:type="dxa"/>
            <w:tcBorders/>
            <w:vAlign w:val="center"/>
          </w:tcPr>
          <w:p>
            <w:pPr>
              <w:pStyle w:val="TableContents"/>
              <w:bidi w:val="0"/>
              <w:spacing w:before="0" w:after="283"/>
              <w:jc w:val="left"/>
              <w:rPr/>
            </w:pPr>
            <w:r>
              <w:rPr/>
              <w:t>MA-14</w:t>
            </w:r>
          </w:p>
        </w:tc>
        <w:tc>
          <w:tcPr>
            <w:tcW w:w="5281" w:type="dxa"/>
            <w:tcBorders/>
            <w:vAlign w:val="center"/>
          </w:tcPr>
          <w:p>
            <w:pPr>
              <w:pStyle w:val="TableContents"/>
              <w:bidi w:val="0"/>
              <w:spacing w:before="0" w:after="283"/>
              <w:jc w:val="left"/>
              <w:rPr/>
            </w:pPr>
            <w:r>
              <w:rPr/>
              <w:t>Every mutating command writes an audit entry (WFR-030)</w:t>
            </w:r>
          </w:p>
        </w:tc>
        <w:tc>
          <w:tcPr>
            <w:tcW w:w="10021" w:type="dxa"/>
            <w:tcBorders/>
            <w:vAlign w:val="center"/>
          </w:tcPr>
          <w:p>
            <w:pPr>
              <w:pStyle w:val="TableContents"/>
              <w:bidi w:val="0"/>
              <w:spacing w:before="0" w:after="283"/>
              <w:jc w:val="left"/>
              <w:rPr/>
            </w:pPr>
            <w:r>
              <w:rPr/>
              <w:t>Test that iterates command handlers and asserts an audit row is produced</w:t>
            </w:r>
          </w:p>
        </w:tc>
      </w:tr>
      <w:tr>
        <w:trPr/>
        <w:tc>
          <w:tcPr>
            <w:tcW w:w="691" w:type="dxa"/>
            <w:tcBorders/>
            <w:vAlign w:val="center"/>
          </w:tcPr>
          <w:p>
            <w:pPr>
              <w:pStyle w:val="TableContents"/>
              <w:bidi w:val="0"/>
              <w:spacing w:before="0" w:after="283"/>
              <w:jc w:val="left"/>
              <w:rPr/>
            </w:pPr>
            <w:r>
              <w:rPr/>
              <w:t>MA-15</w:t>
            </w:r>
          </w:p>
        </w:tc>
        <w:tc>
          <w:tcPr>
            <w:tcW w:w="5281" w:type="dxa"/>
            <w:tcBorders/>
            <w:vAlign w:val="center"/>
          </w:tcPr>
          <w:p>
            <w:pPr>
              <w:pStyle w:val="TableContents"/>
              <w:bidi w:val="0"/>
              <w:spacing w:before="0" w:after="283"/>
              <w:jc w:val="left"/>
              <w:rPr/>
            </w:pPr>
            <w:r>
              <w:rPr/>
              <w:t>Notification payloads carry no restricted fields (WFR-025)</w:t>
            </w:r>
          </w:p>
        </w:tc>
        <w:tc>
          <w:tcPr>
            <w:tcW w:w="10021" w:type="dxa"/>
            <w:tcBorders/>
            <w:vAlign w:val="center"/>
          </w:tcPr>
          <w:p>
            <w:pPr>
              <w:pStyle w:val="TableContents"/>
              <w:bidi w:val="0"/>
              <w:spacing w:before="0" w:after="283"/>
              <w:jc w:val="left"/>
              <w:rPr/>
            </w:pPr>
            <w:r>
              <w:rPr/>
              <w:t>Test scanning every event payload schema for restricted field names</w:t>
            </w:r>
          </w:p>
        </w:tc>
      </w:tr>
      <w:tr>
        <w:trPr/>
        <w:tc>
          <w:tcPr>
            <w:tcW w:w="691" w:type="dxa"/>
            <w:tcBorders/>
            <w:vAlign w:val="center"/>
          </w:tcPr>
          <w:p>
            <w:pPr>
              <w:pStyle w:val="TableContents"/>
              <w:bidi w:val="0"/>
              <w:spacing w:before="0" w:after="283"/>
              <w:jc w:val="left"/>
              <w:rPr/>
            </w:pPr>
            <w:r>
              <w:rPr/>
              <w:t>MA-16</w:t>
            </w:r>
          </w:p>
        </w:tc>
        <w:tc>
          <w:tcPr>
            <w:tcW w:w="5281" w:type="dxa"/>
            <w:tcBorders/>
            <w:vAlign w:val="center"/>
          </w:tcPr>
          <w:p>
            <w:pPr>
              <w:pStyle w:val="TableContents"/>
              <w:bidi w:val="0"/>
              <w:spacing w:before="0" w:after="283"/>
              <w:jc w:val="left"/>
              <w:rPr/>
            </w:pPr>
            <w:r>
              <w:rPr/>
              <w:t>All expected completion blockers are registered (§8.2)</w:t>
            </w:r>
          </w:p>
        </w:tc>
        <w:tc>
          <w:tcPr>
            <w:tcW w:w="10021" w:type="dxa"/>
            <w:tcBorders/>
            <w:vAlign w:val="center"/>
          </w:tcPr>
          <w:p>
            <w:pPr>
              <w:pStyle w:val="TableContents"/>
              <w:bidi w:val="0"/>
              <w:spacing w:before="0" w:after="283"/>
              <w:jc w:val="left"/>
              <w:rPr/>
            </w:pPr>
            <w:r>
              <w:rPr/>
              <w:t>Start-up assertion plus a test per blocker</w:t>
            </w:r>
          </w:p>
        </w:tc>
      </w:tr>
    </w:tbl>
    <w:p>
      <w:pPr>
        <w:pStyle w:val="BodyText"/>
        <w:bidi w:val="0"/>
        <w:jc w:val="left"/>
        <w:rPr/>
      </w:pPr>
      <w:r>
        <w:rPr/>
        <w:t xml:space="preserve">The </w:t>
      </w:r>
      <w:r>
        <w:rPr>
          <w:rStyle w:val="SourceText"/>
        </w:rPr>
        <w:t>import-linter</w:t>
      </w:r>
      <w:r>
        <w:rPr/>
        <w:t xml:space="preserve"> contract, concretely:</w:t>
      </w:r>
    </w:p>
    <w:p>
      <w:pPr>
        <w:pStyle w:val="PreformattedTextcode"/>
        <w:bidi w:val="0"/>
        <w:jc w:val="left"/>
        <w:rPr/>
      </w:pPr>
      <w:r>
        <w:rPr>
          <w:rStyle w:val="SourceText"/>
        </w:rPr>
        <w:t>[importlinter:contract:layers]</w:t>
      </w:r>
    </w:p>
    <w:p>
      <w:pPr>
        <w:pStyle w:val="PreformattedTextcode"/>
        <w:bidi w:val="0"/>
        <w:jc w:val="left"/>
        <w:rPr/>
      </w:pPr>
      <w:r>
        <w:rPr>
          <w:rStyle w:val="SourceText"/>
        </w:rPr>
        <w:t>name = MentorMAMA module layers</w:t>
      </w:r>
    </w:p>
    <w:p>
      <w:pPr>
        <w:pStyle w:val="PreformattedTextcode"/>
        <w:bidi w:val="0"/>
        <w:jc w:val="left"/>
        <w:rPr/>
      </w:pPr>
      <w:r>
        <w:rPr>
          <w:rStyle w:val="SourceText"/>
        </w:rPr>
        <w:t>type = layers</w:t>
      </w:r>
    </w:p>
    <w:p>
      <w:pPr>
        <w:pStyle w:val="PreformattedTextcode"/>
        <w:bidi w:val="0"/>
        <w:jc w:val="left"/>
        <w:rPr/>
      </w:pPr>
      <w:r>
        <w:rPr>
          <w:rStyle w:val="SourceText"/>
        </w:rPr>
        <w:t>layers =</w:t>
      </w:r>
    </w:p>
    <w:p>
      <w:pPr>
        <w:pStyle w:val="PreformattedTextcode"/>
        <w:bidi w:val="0"/>
        <w:jc w:val="left"/>
        <w:rPr/>
      </w:pPr>
      <w:r>
        <w:rPr>
          <w:rStyle w:val="SourceText"/>
        </w:rPr>
        <w:t xml:space="preserve">    </w:t>
      </w:r>
      <w:r>
        <w:rPr>
          <w:rStyle w:val="SourceText"/>
        </w:rPr>
        <w:t>apps.analytics | apps.notifications</w:t>
      </w:r>
    </w:p>
    <w:p>
      <w:pPr>
        <w:pStyle w:val="PreformattedTextcode"/>
        <w:bidi w:val="0"/>
        <w:jc w:val="left"/>
        <w:rPr/>
      </w:pPr>
      <w:r>
        <w:rPr>
          <w:rStyle w:val="SourceText"/>
        </w:rPr>
        <w:t xml:space="preserve">    </w:t>
      </w:r>
      <w:r>
        <w:rPr>
          <w:rStyle w:val="SourceText"/>
        </w:rPr>
        <w:t>apps.induction | apps.mentorship | apps.assessments | apps.safeguarding</w:t>
      </w:r>
    </w:p>
    <w:p>
      <w:pPr>
        <w:pStyle w:val="PreformattedTextcode"/>
        <w:bidi w:val="0"/>
        <w:jc w:val="left"/>
        <w:rPr/>
      </w:pPr>
      <w:r>
        <w:rPr>
          <w:rStyle w:val="SourceText"/>
        </w:rPr>
        <w:t xml:space="preserve">    </w:t>
      </w:r>
      <w:r>
        <w:rPr>
          <w:rStyle w:val="SourceText"/>
        </w:rPr>
        <w:t>apps.placements</w:t>
      </w:r>
    </w:p>
    <w:p>
      <w:pPr>
        <w:pStyle w:val="PreformattedTextcode"/>
        <w:bidi w:val="0"/>
        <w:jc w:val="left"/>
        <w:rPr/>
      </w:pPr>
      <w:r>
        <w:rPr>
          <w:rStyle w:val="SourceText"/>
        </w:rPr>
        <w:t xml:space="preserve">    </w:t>
      </w:r>
      <w:r>
        <w:rPr>
          <w:rStyle w:val="SourceText"/>
        </w:rPr>
        <w:t>apps.institutions | apps.facilities | apps.learning | apps.content</w:t>
      </w:r>
    </w:p>
    <w:p>
      <w:pPr>
        <w:pStyle w:val="PreformattedTextcode"/>
        <w:bidi w:val="0"/>
        <w:jc w:val="left"/>
        <w:rPr/>
      </w:pPr>
      <w:r>
        <w:rPr>
          <w:rStyle w:val="SourceText"/>
        </w:rPr>
        <w:t xml:space="preserve">    </w:t>
      </w:r>
      <w:r>
        <w:rPr>
          <w:rStyle w:val="SourceText"/>
        </w:rPr>
        <w:t>apps.identity</w:t>
      </w:r>
    </w:p>
    <w:p>
      <w:pPr>
        <w:pStyle w:val="PreformattedTextcode"/>
        <w:bidi w:val="0"/>
        <w:jc w:val="left"/>
        <w:rPr/>
      </w:pPr>
      <w:r>
        <w:rPr>
          <w:rStyle w:val="SourceText"/>
        </w:rPr>
        <w:t xml:space="preserve">    </w:t>
      </w:r>
      <w:r>
        <w:rPr>
          <w:rStyle w:val="SourceText"/>
        </w:rPr>
        <w:t>apps.core</w:t>
      </w:r>
    </w:p>
    <w:p>
      <w:pPr>
        <w:pStyle w:val="PreformattedTextcode"/>
        <w:bidi w:val="0"/>
        <w:jc w:val="left"/>
        <w:rPr/>
      </w:pPr>
      <w:r>
        <w:rPr/>
      </w:r>
    </w:p>
    <w:p>
      <w:pPr>
        <w:pStyle w:val="PreformattedTextcode"/>
        <w:bidi w:val="0"/>
        <w:jc w:val="left"/>
        <w:rPr/>
      </w:pPr>
      <w:r>
        <w:rPr>
          <w:rStyle w:val="SourceText"/>
        </w:rPr>
        <w:t>[importlinter:contract:privates]</w:t>
      </w:r>
    </w:p>
    <w:p>
      <w:pPr>
        <w:pStyle w:val="PreformattedTextcode"/>
        <w:bidi w:val="0"/>
        <w:jc w:val="left"/>
        <w:rPr/>
      </w:pPr>
      <w:r>
        <w:rPr>
          <w:rStyle w:val="SourceText"/>
        </w:rPr>
        <w:t>name = Module internals are private</w:t>
      </w:r>
    </w:p>
    <w:p>
      <w:pPr>
        <w:pStyle w:val="PreformattedTextcode"/>
        <w:bidi w:val="0"/>
        <w:jc w:val="left"/>
        <w:rPr/>
      </w:pPr>
      <w:r>
        <w:rPr>
          <w:rStyle w:val="SourceText"/>
        </w:rPr>
        <w:t>type = forbidden</w:t>
      </w:r>
    </w:p>
    <w:p>
      <w:pPr>
        <w:pStyle w:val="PreformattedTextcode"/>
        <w:bidi w:val="0"/>
        <w:jc w:val="left"/>
        <w:rPr/>
      </w:pPr>
      <w:r>
        <w:rPr>
          <w:rStyle w:val="SourceText"/>
        </w:rPr>
        <w:t>source_modules = apps.*</w:t>
      </w:r>
    </w:p>
    <w:p>
      <w:pPr>
        <w:pStyle w:val="PreformattedTextcode"/>
        <w:bidi w:val="0"/>
        <w:jc w:val="left"/>
        <w:rPr/>
      </w:pPr>
      <w:r>
        <w:rPr>
          <w:rStyle w:val="SourceText"/>
        </w:rPr>
        <w:t>forbidden_modules = apps.*.models apps.*.services apps.*.state_machine</w:t>
      </w:r>
    </w:p>
    <w:p>
      <w:pPr>
        <w:pStyle w:val="PreformattedTextcode"/>
        <w:bidi w:val="0"/>
        <w:spacing w:before="0" w:after="283"/>
        <w:jc w:val="left"/>
        <w:rPr/>
      </w:pPr>
      <w:r>
        <w:rPr>
          <w:rStyle w:val="SourceText"/>
        </w:rPr>
        <w:t>allow_indirect_imports = false</w:t>
      </w:r>
    </w:p>
    <w:p>
      <w:pPr>
        <w:pStyle w:val="BodyText"/>
        <w:bidi w:val="0"/>
        <w:jc w:val="left"/>
        <w:rPr/>
      </w:pPr>
      <w:r>
        <w:rPr/>
        <w:t xml:space="preserve">The </w:t>
      </w:r>
      <w:r>
        <w:rPr>
          <w:rStyle w:val="SourceText"/>
        </w:rPr>
        <w:t>|</w:t>
      </w:r>
      <w:r>
        <w:rPr/>
        <w:t xml:space="preserve"> between modules on one layer is </w:t>
      </w:r>
      <w:r>
        <w:rPr>
          <w:rStyle w:val="SourceText"/>
        </w:rPr>
        <w:t>import-linter</w:t>
      </w:r>
      <w:r>
        <w:rPr/>
        <w:t>'s independence operator: it forbids sibling imports, which is MA-04 enforced by machine rather than by memory.</w:t>
      </w:r>
    </w:p>
    <w:p>
      <w:pPr>
        <w:pStyle w:val="HorizontalLine"/>
        <w:bidi w:val="0"/>
        <w:jc w:val="left"/>
        <w:rPr/>
      </w:pPr>
      <w:r>
        <w:rPr/>
      </w:r>
    </w:p>
    <w:p>
      <w:pPr>
        <w:pStyle w:val="Heading2"/>
        <w:bidi w:val="0"/>
        <w:jc w:val="left"/>
        <w:rPr/>
      </w:pPr>
      <w:r>
        <w:rPr/>
        <w:t>11. Frontend Module Structure</w:t>
      </w:r>
    </w:p>
    <w:p>
      <w:pPr>
        <w:pStyle w:val="BodyText"/>
        <w:bidi w:val="0"/>
        <w:jc w:val="left"/>
        <w:rPr/>
      </w:pPr>
      <w:r>
        <w:rPr/>
        <w:t>The PWA mirrors the same discipline, with one addition the backend does not need: an offline outbox.</w:t>
      </w:r>
    </w:p>
    <w:p>
      <w:pPr>
        <w:pStyle w:val="PreformattedTextcode"/>
        <w:bidi w:val="0"/>
        <w:jc w:val="left"/>
        <w:rPr/>
      </w:pPr>
      <w:r>
        <w:rPr>
          <w:rStyle w:val="SourceText"/>
        </w:rPr>
        <w:t>apps/portal/src/</w:t>
      </w:r>
    </w:p>
    <w:p>
      <w:pPr>
        <w:pStyle w:val="PreformattedTextcode"/>
        <w:bidi w:val="0"/>
        <w:jc w:val="left"/>
        <w:rPr/>
      </w:pPr>
      <w:r>
        <w:rPr>
          <w:rStyle w:val="SourceText"/>
        </w:rPr>
        <w:t xml:space="preserve">├── </w:t>
      </w:r>
      <w:r>
        <w:rPr>
          <w:rStyle w:val="SourceText"/>
        </w:rPr>
        <w:t>lib/</w:t>
      </w:r>
    </w:p>
    <w:p>
      <w:pPr>
        <w:pStyle w:val="PreformattedTextcode"/>
        <w:bidi w:val="0"/>
        <w:jc w:val="left"/>
        <w:rPr/>
      </w:pPr>
      <w:r>
        <w:rPr>
          <w:rStyle w:val="SourceText"/>
        </w:rPr>
        <w:t xml:space="preserve">│   ├── </w:t>
      </w:r>
      <w:r>
        <w:rPr>
          <w:rStyle w:val="SourceText"/>
        </w:rPr>
        <w:t>api/              # client, error mapping to the Stage 3 error catalogue</w:t>
      </w:r>
    </w:p>
    <w:p>
      <w:pPr>
        <w:pStyle w:val="PreformattedTextcode"/>
        <w:bidi w:val="0"/>
        <w:jc w:val="left"/>
        <w:rPr/>
      </w:pPr>
      <w:r>
        <w:rPr>
          <w:rStyle w:val="SourceText"/>
        </w:rPr>
        <w:t xml:space="preserve">│   ├── </w:t>
      </w:r>
      <w:r>
        <w:rPr>
          <w:rStyle w:val="SourceText"/>
        </w:rPr>
        <w:t>offline/          # local draft store + client outbox + command_id generation</w:t>
      </w:r>
    </w:p>
    <w:p>
      <w:pPr>
        <w:pStyle w:val="PreformattedTextcode"/>
        <w:bidi w:val="0"/>
        <w:jc w:val="left"/>
        <w:rPr/>
      </w:pPr>
      <w:r>
        <w:rPr>
          <w:rStyle w:val="SourceText"/>
        </w:rPr>
        <w:t xml:space="preserve">│   ├── </w:t>
      </w:r>
      <w:r>
        <w:rPr>
          <w:rStyle w:val="SourceText"/>
        </w:rPr>
        <w:t>scope/            # role-aware routing and navigation</w:t>
      </w:r>
    </w:p>
    <w:p>
      <w:pPr>
        <w:pStyle w:val="PreformattedTextcode"/>
        <w:bidi w:val="0"/>
        <w:jc w:val="left"/>
        <w:rPr/>
      </w:pPr>
      <w:r>
        <w:rPr>
          <w:rStyle w:val="SourceText"/>
        </w:rPr>
        <w:t xml:space="preserve">│   └── </w:t>
      </w:r>
      <w:r>
        <w:rPr>
          <w:rStyle w:val="SourceText"/>
        </w:rPr>
        <w:t>ui/               # shared primitives (from packages/ui)</w:t>
      </w:r>
    </w:p>
    <w:p>
      <w:pPr>
        <w:pStyle w:val="PreformattedTextcode"/>
        <w:bidi w:val="0"/>
        <w:jc w:val="left"/>
        <w:rPr/>
      </w:pPr>
      <w:r>
        <w:rPr>
          <w:rStyle w:val="SourceText"/>
        </w:rPr>
        <w:t xml:space="preserve">└── </w:t>
      </w:r>
      <w:r>
        <w:rPr>
          <w:rStyle w:val="SourceText"/>
        </w:rPr>
        <w:t>features/</w:t>
      </w:r>
    </w:p>
    <w:p>
      <w:pPr>
        <w:pStyle w:val="PreformattedTextcode"/>
        <w:bidi w:val="0"/>
        <w:jc w:val="left"/>
        <w:rPr/>
      </w:pPr>
      <w:r>
        <w:rPr>
          <w:rStyle w:val="SourceText"/>
        </w:rPr>
        <w:t xml:space="preserve">    ├── </w:t>
      </w:r>
      <w:r>
        <w:rPr>
          <w:rStyle w:val="SourceText"/>
        </w:rPr>
        <w:t>auth/             invitation redemption, login</w:t>
      </w:r>
    </w:p>
    <w:p>
      <w:pPr>
        <w:pStyle w:val="PreformattedTextcode"/>
        <w:bidi w:val="0"/>
        <w:jc w:val="left"/>
        <w:rPr/>
      </w:pPr>
      <w:r>
        <w:rPr>
          <w:rStyle w:val="SourceText"/>
        </w:rPr>
        <w:t xml:space="preserve">    ├── </w:t>
      </w:r>
      <w:r>
        <w:rPr>
          <w:rStyle w:val="SourceText"/>
        </w:rPr>
        <w:t>placement/        my placement (student), placement list (staff)</w:t>
      </w:r>
    </w:p>
    <w:p>
      <w:pPr>
        <w:pStyle w:val="PreformattedTextcode"/>
        <w:bidi w:val="0"/>
        <w:jc w:val="left"/>
        <w:rPr/>
      </w:pPr>
      <w:r>
        <w:rPr>
          <w:rStyle w:val="SourceText"/>
        </w:rPr>
        <w:t xml:space="preserve">    ├── </w:t>
      </w:r>
      <w:r>
        <w:rPr>
          <w:rStyle w:val="SourceText"/>
        </w:rPr>
        <w:t>induction/        checklist — offline-capable</w:t>
      </w:r>
    </w:p>
    <w:p>
      <w:pPr>
        <w:pStyle w:val="PreformattedTextcode"/>
        <w:bidi w:val="0"/>
        <w:jc w:val="left"/>
        <w:rPr/>
      </w:pPr>
      <w:r>
        <w:rPr>
          <w:rStyle w:val="SourceText"/>
        </w:rPr>
        <w:t xml:space="preserve">    ├── </w:t>
      </w:r>
      <w:r>
        <w:rPr>
          <w:rStyle w:val="SourceText"/>
        </w:rPr>
        <w:t>session-log/      log a session — offline-capable</w:t>
      </w:r>
    </w:p>
    <w:p>
      <w:pPr>
        <w:pStyle w:val="PreformattedTextcode"/>
        <w:bidi w:val="0"/>
        <w:jc w:val="left"/>
        <w:rPr/>
      </w:pPr>
      <w:r>
        <w:rPr>
          <w:rStyle w:val="SourceText"/>
        </w:rPr>
        <w:t xml:space="preserve">    ├── </w:t>
      </w:r>
      <w:r>
        <w:rPr>
          <w:rStyle w:val="SourceText"/>
        </w:rPr>
        <w:t>unsynced/         queued and failed commands (OD-09)</w:t>
      </w:r>
    </w:p>
    <w:p>
      <w:pPr>
        <w:pStyle w:val="PreformattedTextcode"/>
        <w:bidi w:val="0"/>
        <w:jc w:val="left"/>
        <w:rPr/>
      </w:pPr>
      <w:r>
        <w:rPr>
          <w:rStyle w:val="SourceText"/>
        </w:rPr>
        <w:t xml:space="preserve">    ├── </w:t>
      </w:r>
      <w:r>
        <w:rPr>
          <w:rStyle w:val="SourceText"/>
        </w:rPr>
        <w:t>feedback/         feedback and confidence</w:t>
      </w:r>
    </w:p>
    <w:p>
      <w:pPr>
        <w:pStyle w:val="PreformattedTextcode"/>
        <w:bidi w:val="0"/>
        <w:jc w:val="left"/>
        <w:rPr/>
      </w:pPr>
      <w:r>
        <w:rPr>
          <w:rStyle w:val="SourceText"/>
        </w:rPr>
        <w:t xml:space="preserve">    ├── </w:t>
      </w:r>
      <w:r>
        <w:rPr>
          <w:rStyle w:val="SourceText"/>
        </w:rPr>
        <w:t>safeguarding/     raise and review concerns</w:t>
      </w:r>
    </w:p>
    <w:p>
      <w:pPr>
        <w:pStyle w:val="PreformattedTextcode"/>
        <w:bidi w:val="0"/>
        <w:jc w:val="left"/>
        <w:rPr/>
      </w:pPr>
      <w:r>
        <w:rPr>
          <w:rStyle w:val="SourceText"/>
        </w:rPr>
        <w:t xml:space="preserve">    ├── </w:t>
      </w:r>
      <w:r>
        <w:rPr>
          <w:rStyle w:val="SourceText"/>
        </w:rPr>
        <w:t>training/         modules and quizzes</w:t>
      </w:r>
    </w:p>
    <w:p>
      <w:pPr>
        <w:pStyle w:val="PreformattedTextcode"/>
        <w:bidi w:val="0"/>
        <w:spacing w:before="0" w:after="283"/>
        <w:jc w:val="left"/>
        <w:rPr/>
      </w:pPr>
      <w:r>
        <w:rPr>
          <w:rStyle w:val="SourceText"/>
        </w:rPr>
        <w:t xml:space="preserve">    └── </w:t>
      </w:r>
      <w:r>
        <w:rPr>
          <w:rStyle w:val="SourceText"/>
        </w:rPr>
        <w:t>dashboard/        role-scoped indicators and exports</w:t>
      </w:r>
    </w:p>
    <w:tbl>
      <w:tblPr>
        <w:tblW w:w="17280" w:type="dxa"/>
        <w:jc w:val="left"/>
        <w:tblInd w:w="0" w:type="dxa"/>
        <w:tblLayout w:type="fixed"/>
        <w:tblCellMar>
          <w:top w:w="28" w:type="dxa"/>
          <w:left w:w="28" w:type="dxa"/>
          <w:bottom w:w="28" w:type="dxa"/>
          <w:right w:w="28" w:type="dxa"/>
        </w:tblCellMar>
      </w:tblPr>
      <w:tblGrid>
        <w:gridCol w:w="685"/>
        <w:gridCol w:w="16595"/>
      </w:tblGrid>
      <w:tr>
        <w:trPr>
          <w:tblHeader w:val="true"/>
        </w:trPr>
        <w:tc>
          <w:tcPr>
            <w:tcW w:w="685" w:type="dxa"/>
            <w:tcBorders/>
            <w:vAlign w:val="center"/>
          </w:tcPr>
          <w:p>
            <w:pPr>
              <w:pStyle w:val="TableHeading"/>
              <w:suppressLineNumbers/>
              <w:shd w:fill="0D1B33" w:val="clear"/>
              <w:bidi w:val="0"/>
              <w:spacing w:before="0" w:after="283"/>
              <w:jc w:val="left"/>
              <w:rPr/>
            </w:pPr>
            <w:r>
              <w:rPr/>
              <w:t>ID</w:t>
            </w:r>
          </w:p>
        </w:tc>
        <w:tc>
          <w:tcPr>
            <w:tcW w:w="16595" w:type="dxa"/>
            <w:tcBorders/>
            <w:vAlign w:val="center"/>
          </w:tcPr>
          <w:p>
            <w:pPr>
              <w:pStyle w:val="TableHeading"/>
              <w:suppressLineNumbers/>
              <w:shd w:fill="0D1B33" w:val="clear"/>
              <w:bidi w:val="0"/>
              <w:spacing w:before="0" w:after="283"/>
              <w:jc w:val="left"/>
              <w:rPr/>
            </w:pPr>
            <w:r>
              <w:rPr/>
              <w:t>Rule</w:t>
            </w:r>
          </w:p>
        </w:tc>
      </w:tr>
      <w:tr>
        <w:trPr/>
        <w:tc>
          <w:tcPr>
            <w:tcW w:w="685" w:type="dxa"/>
            <w:tcBorders/>
            <w:vAlign w:val="center"/>
          </w:tcPr>
          <w:p>
            <w:pPr>
              <w:pStyle w:val="TableContents"/>
              <w:bidi w:val="0"/>
              <w:spacing w:before="0" w:after="283"/>
              <w:jc w:val="left"/>
              <w:rPr/>
            </w:pPr>
            <w:r>
              <w:rPr/>
              <w:t>MA-17</w:t>
            </w:r>
          </w:p>
        </w:tc>
        <w:tc>
          <w:tcPr>
            <w:tcW w:w="16595" w:type="dxa"/>
            <w:tcBorders/>
            <w:vAlign w:val="center"/>
          </w:tcPr>
          <w:p>
            <w:pPr>
              <w:pStyle w:val="TableContents"/>
              <w:bidi w:val="0"/>
              <w:spacing w:before="0" w:after="283"/>
              <w:jc w:val="left"/>
              <w:rPr/>
            </w:pPr>
            <w:r>
              <w:rPr/>
              <w:t xml:space="preserve">Features never import each other. Shared behaviour moves to </w:t>
            </w:r>
            <w:r>
              <w:rPr>
                <w:rStyle w:val="SourceText"/>
              </w:rPr>
              <w:t>lib/</w:t>
            </w:r>
          </w:p>
        </w:tc>
      </w:tr>
      <w:tr>
        <w:trPr/>
        <w:tc>
          <w:tcPr>
            <w:tcW w:w="685" w:type="dxa"/>
            <w:tcBorders/>
            <w:vAlign w:val="center"/>
          </w:tcPr>
          <w:p>
            <w:pPr>
              <w:pStyle w:val="TableContents"/>
              <w:bidi w:val="0"/>
              <w:spacing w:before="0" w:after="283"/>
              <w:jc w:val="left"/>
              <w:rPr/>
            </w:pPr>
            <w:r>
              <w:rPr/>
              <w:t>MA-18</w:t>
            </w:r>
          </w:p>
        </w:tc>
        <w:tc>
          <w:tcPr>
            <w:tcW w:w="16595" w:type="dxa"/>
            <w:tcBorders/>
            <w:vAlign w:val="center"/>
          </w:tcPr>
          <w:p>
            <w:pPr>
              <w:pStyle w:val="TableContents"/>
              <w:bidi w:val="0"/>
              <w:spacing w:before="0" w:after="283"/>
              <w:jc w:val="left"/>
              <w:rPr/>
            </w:pPr>
            <w:r>
              <w:rPr/>
              <w:t xml:space="preserve">Every mutating request goes through </w:t>
            </w:r>
            <w:r>
              <w:rPr>
                <w:rStyle w:val="SourceText"/>
              </w:rPr>
              <w:t>lib/offline</w:t>
            </w:r>
            <w:r>
              <w:rPr/>
              <w:t xml:space="preserve">, which assigns a </w:t>
            </w:r>
            <w:r>
              <w:rPr>
                <w:rStyle w:val="SourceText"/>
              </w:rPr>
              <w:t>command_id</w:t>
            </w:r>
            <w:r>
              <w:rPr/>
              <w:t xml:space="preserve"> at </w:t>
            </w:r>
            <w:r>
              <w:rPr>
                <w:rStyle w:val="Strong"/>
              </w:rPr>
              <w:t>form-open</w:t>
            </w:r>
            <w:r>
              <w:rPr/>
              <w:t xml:space="preserve"> time and owns the retry queue. No feature performs its own </w:t>
            </w:r>
            <w:r>
              <w:rPr>
                <w:rStyle w:val="SourceText"/>
              </w:rPr>
              <w:t>fetch</w:t>
            </w:r>
            <w:r>
              <w:rPr/>
              <w:t xml:space="preserve"> for a write</w:t>
            </w:r>
          </w:p>
        </w:tc>
      </w:tr>
      <w:tr>
        <w:trPr/>
        <w:tc>
          <w:tcPr>
            <w:tcW w:w="685" w:type="dxa"/>
            <w:tcBorders/>
            <w:vAlign w:val="center"/>
          </w:tcPr>
          <w:p>
            <w:pPr>
              <w:pStyle w:val="TableContents"/>
              <w:bidi w:val="0"/>
              <w:spacing w:before="0" w:after="283"/>
              <w:jc w:val="left"/>
              <w:rPr/>
            </w:pPr>
            <w:r>
              <w:rPr/>
              <w:t>MA-19</w:t>
            </w:r>
          </w:p>
        </w:tc>
        <w:tc>
          <w:tcPr>
            <w:tcW w:w="16595" w:type="dxa"/>
            <w:tcBorders/>
            <w:vAlign w:val="center"/>
          </w:tcPr>
          <w:p>
            <w:pPr>
              <w:pStyle w:val="TableContents"/>
              <w:bidi w:val="0"/>
              <w:spacing w:before="0" w:after="283"/>
              <w:jc w:val="left"/>
              <w:rPr/>
            </w:pPr>
            <w:r>
              <w:rPr/>
              <w:t>Error handling maps the shared domain error codes (Stage 3 §12) to user-facing copy in one place. A message like "this log could not be saved — the placement is paused" is written once</w:t>
            </w:r>
          </w:p>
        </w:tc>
      </w:tr>
      <w:tr>
        <w:trPr/>
        <w:tc>
          <w:tcPr>
            <w:tcW w:w="685" w:type="dxa"/>
            <w:tcBorders/>
            <w:vAlign w:val="center"/>
          </w:tcPr>
          <w:p>
            <w:pPr>
              <w:pStyle w:val="TableContents"/>
              <w:bidi w:val="0"/>
              <w:spacing w:before="0" w:after="283"/>
              <w:jc w:val="left"/>
              <w:rPr/>
            </w:pPr>
            <w:r>
              <w:rPr/>
              <w:t>MA-20</w:t>
            </w:r>
          </w:p>
        </w:tc>
        <w:tc>
          <w:tcPr>
            <w:tcW w:w="16595" w:type="dxa"/>
            <w:tcBorders/>
            <w:vAlign w:val="center"/>
          </w:tcPr>
          <w:p>
            <w:pPr>
              <w:pStyle w:val="TableContents"/>
              <w:bidi w:val="0"/>
              <w:spacing w:before="0" w:after="283"/>
              <w:jc w:val="left"/>
              <w:rPr/>
            </w:pPr>
            <w:r>
              <w:rPr/>
              <w:t xml:space="preserve">The </w:t>
            </w:r>
            <w:r>
              <w:rPr>
                <w:rStyle w:val="SourceText"/>
              </w:rPr>
              <w:t>unsynced</w:t>
            </w:r>
            <w:r>
              <w:rPr/>
              <w:t xml:space="preserve"> feature is not optional. Stage 3.5 §7.4 established that a mentor's queued work can legitimately fail on late arrival, and it must be visible and resolvable rather than silently lost</w:t>
            </w:r>
          </w:p>
        </w:tc>
      </w:tr>
    </w:tbl>
    <w:p>
      <w:pPr>
        <w:pStyle w:val="BodyText"/>
        <w:bidi w:val="0"/>
        <w:jc w:val="left"/>
        <w:rPr/>
      </w:pPr>
      <w:r>
        <w:rPr/>
        <w:t>MA-18 is the load-bearing one. If two features each write their own submit logic, one of them will forget the idempotency key, and the field failure mode is duplicate session logs that nobody can explain.</w:t>
      </w:r>
    </w:p>
    <w:p>
      <w:pPr>
        <w:pStyle w:val="HorizontalLine"/>
        <w:bidi w:val="0"/>
        <w:jc w:val="left"/>
        <w:rPr/>
      </w:pPr>
      <w:r>
        <w:rPr/>
      </w:r>
    </w:p>
    <w:p>
      <w:pPr>
        <w:pStyle w:val="Heading2"/>
        <w:bidi w:val="0"/>
        <w:jc w:val="left"/>
        <w:rPr/>
      </w:pPr>
      <w:r>
        <w:rPr/>
        <w:t>12. Sprint-Shaped Consequences</w:t>
      </w:r>
    </w:p>
    <w:p>
      <w:pPr>
        <w:pStyle w:val="BodyText"/>
        <w:bidi w:val="0"/>
        <w:jc w:val="left"/>
        <w:rPr/>
      </w:pPr>
      <w:r>
        <w:rPr/>
        <w:t>Stage 8 will produce the plan; this is the ordering that falls out of the module graph, because dependencies point downward and so must the build order.</w:t>
      </w:r>
    </w:p>
    <w:tbl>
      <w:tblPr>
        <w:tblW w:w="17280" w:type="dxa"/>
        <w:jc w:val="left"/>
        <w:tblInd w:w="0" w:type="dxa"/>
        <w:tblLayout w:type="fixed"/>
        <w:tblCellMar>
          <w:top w:w="28" w:type="dxa"/>
          <w:left w:w="28" w:type="dxa"/>
          <w:bottom w:w="28" w:type="dxa"/>
          <w:right w:w="28" w:type="dxa"/>
        </w:tblCellMar>
      </w:tblPr>
      <w:tblGrid>
        <w:gridCol w:w="601"/>
        <w:gridCol w:w="10006"/>
        <w:gridCol w:w="6673"/>
      </w:tblGrid>
      <w:tr>
        <w:trPr>
          <w:tblHeader w:val="true"/>
        </w:trPr>
        <w:tc>
          <w:tcPr>
            <w:tcW w:w="601" w:type="dxa"/>
            <w:tcBorders/>
            <w:vAlign w:val="center"/>
          </w:tcPr>
          <w:p>
            <w:pPr>
              <w:pStyle w:val="TableHeading"/>
              <w:suppressLineNumbers/>
              <w:shd w:fill="0D1B33" w:val="clear"/>
              <w:bidi w:val="0"/>
              <w:spacing w:before="0" w:after="283"/>
              <w:jc w:val="left"/>
              <w:rPr/>
            </w:pPr>
            <w:r>
              <w:rPr/>
              <w:t>Order</w:t>
            </w:r>
          </w:p>
        </w:tc>
        <w:tc>
          <w:tcPr>
            <w:tcW w:w="10006" w:type="dxa"/>
            <w:tcBorders/>
            <w:vAlign w:val="center"/>
          </w:tcPr>
          <w:p>
            <w:pPr>
              <w:pStyle w:val="TableHeading"/>
              <w:suppressLineNumbers/>
              <w:shd w:fill="0D1B33" w:val="clear"/>
              <w:bidi w:val="0"/>
              <w:spacing w:before="0" w:after="283"/>
              <w:jc w:val="left"/>
              <w:rPr/>
            </w:pPr>
            <w:r>
              <w:rPr/>
              <w:t>Work</w:t>
            </w:r>
          </w:p>
        </w:tc>
        <w:tc>
          <w:tcPr>
            <w:tcW w:w="6673" w:type="dxa"/>
            <w:tcBorders/>
            <w:vAlign w:val="center"/>
          </w:tcPr>
          <w:p>
            <w:pPr>
              <w:pStyle w:val="TableHeading"/>
              <w:suppressLineNumbers/>
              <w:shd w:fill="0D1B33" w:val="clear"/>
              <w:bidi w:val="0"/>
              <w:spacing w:before="0" w:after="283"/>
              <w:jc w:val="left"/>
              <w:rPr/>
            </w:pPr>
            <w:r>
              <w:rPr/>
              <w:t>Why here</w:t>
            </w:r>
          </w:p>
        </w:tc>
      </w:tr>
      <w:tr>
        <w:trPr/>
        <w:tc>
          <w:tcPr>
            <w:tcW w:w="601" w:type="dxa"/>
            <w:tcBorders/>
            <w:vAlign w:val="center"/>
          </w:tcPr>
          <w:p>
            <w:pPr>
              <w:pStyle w:val="TableContents"/>
              <w:bidi w:val="0"/>
              <w:spacing w:before="0" w:after="283"/>
              <w:jc w:val="left"/>
              <w:rPr/>
            </w:pPr>
            <w:r>
              <w:rPr/>
              <w:t>1</w:t>
            </w:r>
          </w:p>
        </w:tc>
        <w:tc>
          <w:tcPr>
            <w:tcW w:w="10006" w:type="dxa"/>
            <w:tcBorders/>
            <w:vAlign w:val="center"/>
          </w:tcPr>
          <w:p>
            <w:pPr>
              <w:pStyle w:val="TableContents"/>
              <w:bidi w:val="0"/>
              <w:spacing w:before="0" w:after="283"/>
              <w:jc w:val="left"/>
              <w:rPr/>
            </w:pPr>
            <w:r>
              <w:rPr>
                <w:rStyle w:val="SourceText"/>
              </w:rPr>
              <w:t>core</w:t>
            </w:r>
            <w:r>
              <w:rPr/>
              <w:t xml:space="preserve"> + </w:t>
            </w:r>
            <w:r>
              <w:rPr>
                <w:rStyle w:val="SourceText"/>
              </w:rPr>
              <w:t>identity</w:t>
            </w:r>
            <w:r>
              <w:rPr/>
              <w:t xml:space="preserve"> — audit, outbox, idempotency, errors, scope resolution</w:t>
            </w:r>
          </w:p>
        </w:tc>
        <w:tc>
          <w:tcPr>
            <w:tcW w:w="6673" w:type="dxa"/>
            <w:tcBorders/>
            <w:vAlign w:val="center"/>
          </w:tcPr>
          <w:p>
            <w:pPr>
              <w:pStyle w:val="TableContents"/>
              <w:bidi w:val="0"/>
              <w:spacing w:before="0" w:after="283"/>
              <w:jc w:val="left"/>
              <w:rPr/>
            </w:pPr>
            <w:r>
              <w:rPr/>
              <w:t>Everything depends on them, and scope resolution is the security foundation</w:t>
            </w:r>
          </w:p>
        </w:tc>
      </w:tr>
      <w:tr>
        <w:trPr/>
        <w:tc>
          <w:tcPr>
            <w:tcW w:w="601" w:type="dxa"/>
            <w:tcBorders/>
            <w:vAlign w:val="center"/>
          </w:tcPr>
          <w:p>
            <w:pPr>
              <w:pStyle w:val="TableContents"/>
              <w:bidi w:val="0"/>
              <w:spacing w:before="0" w:after="283"/>
              <w:jc w:val="left"/>
              <w:rPr/>
            </w:pPr>
            <w:r>
              <w:rPr/>
              <w:t>2</w:t>
            </w:r>
          </w:p>
        </w:tc>
        <w:tc>
          <w:tcPr>
            <w:tcW w:w="10006" w:type="dxa"/>
            <w:tcBorders/>
            <w:vAlign w:val="center"/>
          </w:tcPr>
          <w:p>
            <w:pPr>
              <w:pStyle w:val="TableContents"/>
              <w:bidi w:val="0"/>
              <w:spacing w:before="0" w:after="283"/>
              <w:jc w:val="left"/>
              <w:rPr/>
            </w:pPr>
            <w:r>
              <w:rPr>
                <w:rStyle w:val="Strong"/>
              </w:rPr>
              <w:t>Walking skeleton</w:t>
            </w:r>
            <w:r>
              <w:rPr/>
              <w:t xml:space="preserve">: create a placement, allocate a ward, assign a mentor, complete induction, log one session — end to end, one happy path, invariants enforced at </w:t>
            </w:r>
            <w:r>
              <w:rPr>
                <w:rStyle w:val="SourceText"/>
              </w:rPr>
              <w:t>DB</w:t>
            </w:r>
            <w:r>
              <w:rPr/>
              <w:t>/</w:t>
            </w:r>
            <w:r>
              <w:rPr>
                <w:rStyle w:val="SourceText"/>
              </w:rPr>
              <w:t>TXN</w:t>
            </w:r>
          </w:p>
        </w:tc>
        <w:tc>
          <w:tcPr>
            <w:tcW w:w="6673" w:type="dxa"/>
            <w:tcBorders/>
            <w:vAlign w:val="center"/>
          </w:tcPr>
          <w:p>
            <w:pPr>
              <w:pStyle w:val="TableContents"/>
              <w:bidi w:val="0"/>
              <w:spacing w:before="0" w:after="283"/>
              <w:jc w:val="left"/>
              <w:rPr/>
            </w:pPr>
            <w:r>
              <w:rPr/>
              <w:t>Proves the boundary mechanisms and the guards are real against ~400 lines instead of a finished feature set</w:t>
            </w:r>
          </w:p>
        </w:tc>
      </w:tr>
      <w:tr>
        <w:trPr/>
        <w:tc>
          <w:tcPr>
            <w:tcW w:w="601" w:type="dxa"/>
            <w:tcBorders/>
            <w:vAlign w:val="center"/>
          </w:tcPr>
          <w:p>
            <w:pPr>
              <w:pStyle w:val="TableContents"/>
              <w:bidi w:val="0"/>
              <w:spacing w:before="0" w:after="283"/>
              <w:jc w:val="left"/>
              <w:rPr/>
            </w:pPr>
            <w:r>
              <w:rPr/>
              <w:t>3</w:t>
            </w:r>
          </w:p>
        </w:tc>
        <w:tc>
          <w:tcPr>
            <w:tcW w:w="10006" w:type="dxa"/>
            <w:tcBorders/>
            <w:vAlign w:val="center"/>
          </w:tcPr>
          <w:p>
            <w:pPr>
              <w:pStyle w:val="TableContents"/>
              <w:bidi w:val="0"/>
              <w:spacing w:before="0" w:after="283"/>
              <w:jc w:val="left"/>
              <w:rPr/>
            </w:pPr>
            <w:r>
              <w:rPr>
                <w:rStyle w:val="SourceText"/>
              </w:rPr>
              <w:t>institutions</w:t>
            </w:r>
            <w:r>
              <w:rPr/>
              <w:t xml:space="preserve">, </w:t>
            </w:r>
            <w:r>
              <w:rPr>
                <w:rStyle w:val="SourceText"/>
              </w:rPr>
              <w:t>facilities</w:t>
            </w:r>
            <w:r>
              <w:rPr/>
              <w:t xml:space="preserve">, </w:t>
            </w:r>
            <w:r>
              <w:rPr>
                <w:rStyle w:val="SourceText"/>
              </w:rPr>
              <w:t>learning</w:t>
            </w:r>
          </w:p>
        </w:tc>
        <w:tc>
          <w:tcPr>
            <w:tcW w:w="6673" w:type="dxa"/>
            <w:tcBorders/>
            <w:vAlign w:val="center"/>
          </w:tcPr>
          <w:p>
            <w:pPr>
              <w:pStyle w:val="TableContents"/>
              <w:bidi w:val="0"/>
              <w:spacing w:before="0" w:after="283"/>
              <w:jc w:val="left"/>
              <w:rPr/>
            </w:pPr>
            <w:r>
              <w:rPr/>
              <w:t>Layer 1; needed by the real placement flows</w:t>
            </w:r>
          </w:p>
        </w:tc>
      </w:tr>
      <w:tr>
        <w:trPr/>
        <w:tc>
          <w:tcPr>
            <w:tcW w:w="601" w:type="dxa"/>
            <w:tcBorders/>
            <w:vAlign w:val="center"/>
          </w:tcPr>
          <w:p>
            <w:pPr>
              <w:pStyle w:val="TableContents"/>
              <w:bidi w:val="0"/>
              <w:spacing w:before="0" w:after="283"/>
              <w:jc w:val="left"/>
              <w:rPr/>
            </w:pPr>
            <w:r>
              <w:rPr/>
              <w:t>4</w:t>
            </w:r>
          </w:p>
        </w:tc>
        <w:tc>
          <w:tcPr>
            <w:tcW w:w="10006" w:type="dxa"/>
            <w:tcBorders/>
            <w:vAlign w:val="center"/>
          </w:tcPr>
          <w:p>
            <w:pPr>
              <w:pStyle w:val="TableContents"/>
              <w:bidi w:val="0"/>
              <w:spacing w:before="0" w:after="283"/>
              <w:jc w:val="left"/>
              <w:rPr/>
            </w:pPr>
            <w:r>
              <w:rPr>
                <w:rStyle w:val="SourceText"/>
              </w:rPr>
              <w:t>placements</w:t>
            </w:r>
            <w:r>
              <w:rPr/>
              <w:t xml:space="preserve"> in full — every transition, every guard</w:t>
            </w:r>
          </w:p>
        </w:tc>
        <w:tc>
          <w:tcPr>
            <w:tcW w:w="6673" w:type="dxa"/>
            <w:tcBorders/>
            <w:vAlign w:val="center"/>
          </w:tcPr>
          <w:p>
            <w:pPr>
              <w:pStyle w:val="TableContents"/>
              <w:bidi w:val="0"/>
              <w:spacing w:before="0" w:after="283"/>
              <w:jc w:val="left"/>
              <w:rPr/>
            </w:pPr>
            <w:r>
              <w:rPr/>
              <w:t>The core domain</w:t>
            </w:r>
          </w:p>
        </w:tc>
      </w:tr>
      <w:tr>
        <w:trPr/>
        <w:tc>
          <w:tcPr>
            <w:tcW w:w="601" w:type="dxa"/>
            <w:tcBorders/>
            <w:vAlign w:val="center"/>
          </w:tcPr>
          <w:p>
            <w:pPr>
              <w:pStyle w:val="TableContents"/>
              <w:bidi w:val="0"/>
              <w:spacing w:before="0" w:after="283"/>
              <w:jc w:val="left"/>
              <w:rPr/>
            </w:pPr>
            <w:r>
              <w:rPr/>
              <w:t>5</w:t>
            </w:r>
          </w:p>
        </w:tc>
        <w:tc>
          <w:tcPr>
            <w:tcW w:w="10006" w:type="dxa"/>
            <w:tcBorders/>
            <w:vAlign w:val="center"/>
          </w:tcPr>
          <w:p>
            <w:pPr>
              <w:pStyle w:val="TableContents"/>
              <w:bidi w:val="0"/>
              <w:spacing w:before="0" w:after="283"/>
              <w:jc w:val="left"/>
              <w:rPr/>
            </w:pPr>
            <w:r>
              <w:rPr>
                <w:rStyle w:val="SourceText"/>
              </w:rPr>
              <w:t>induction</w:t>
            </w:r>
            <w:r>
              <w:rPr/>
              <w:t xml:space="preserve">, </w:t>
            </w:r>
            <w:r>
              <w:rPr>
                <w:rStyle w:val="SourceText"/>
              </w:rPr>
              <w:t>mentorship</w:t>
            </w:r>
          </w:p>
        </w:tc>
        <w:tc>
          <w:tcPr>
            <w:tcW w:w="6673" w:type="dxa"/>
            <w:tcBorders/>
            <w:vAlign w:val="center"/>
          </w:tcPr>
          <w:p>
            <w:pPr>
              <w:pStyle w:val="TableContents"/>
              <w:bidi w:val="0"/>
              <w:spacing w:before="0" w:after="283"/>
              <w:jc w:val="left"/>
              <w:rPr/>
            </w:pPr>
            <w:r>
              <w:rPr/>
              <w:t>The two highest-value mentor workflows</w:t>
            </w:r>
          </w:p>
        </w:tc>
      </w:tr>
      <w:tr>
        <w:trPr/>
        <w:tc>
          <w:tcPr>
            <w:tcW w:w="601" w:type="dxa"/>
            <w:tcBorders/>
            <w:vAlign w:val="center"/>
          </w:tcPr>
          <w:p>
            <w:pPr>
              <w:pStyle w:val="TableContents"/>
              <w:bidi w:val="0"/>
              <w:spacing w:before="0" w:after="283"/>
              <w:jc w:val="left"/>
              <w:rPr/>
            </w:pPr>
            <w:r>
              <w:rPr/>
              <w:t>6</w:t>
            </w:r>
          </w:p>
        </w:tc>
        <w:tc>
          <w:tcPr>
            <w:tcW w:w="10006" w:type="dxa"/>
            <w:tcBorders/>
            <w:vAlign w:val="center"/>
          </w:tcPr>
          <w:p>
            <w:pPr>
              <w:pStyle w:val="TableContents"/>
              <w:bidi w:val="0"/>
              <w:spacing w:before="0" w:after="283"/>
              <w:jc w:val="left"/>
              <w:rPr/>
            </w:pPr>
            <w:r>
              <w:rPr>
                <w:rStyle w:val="SourceText"/>
              </w:rPr>
              <w:t>assessments</w:t>
            </w:r>
            <w:r>
              <w:rPr/>
              <w:t xml:space="preserve">, </w:t>
            </w:r>
            <w:r>
              <w:rPr>
                <w:rStyle w:val="SourceText"/>
              </w:rPr>
              <w:t>safeguarding</w:t>
            </w:r>
          </w:p>
        </w:tc>
        <w:tc>
          <w:tcPr>
            <w:tcW w:w="6673" w:type="dxa"/>
            <w:tcBorders/>
            <w:vAlign w:val="center"/>
          </w:tcPr>
          <w:p>
            <w:pPr>
              <w:pStyle w:val="TableContents"/>
              <w:bidi w:val="0"/>
              <w:spacing w:before="0" w:after="283"/>
              <w:jc w:val="left"/>
              <w:rPr/>
            </w:pPr>
            <w:r>
              <w:rPr/>
              <w:t>Safeguarding after the placement lifecycle it depends on</w:t>
            </w:r>
          </w:p>
        </w:tc>
      </w:tr>
      <w:tr>
        <w:trPr/>
        <w:tc>
          <w:tcPr>
            <w:tcW w:w="601" w:type="dxa"/>
            <w:tcBorders/>
            <w:vAlign w:val="center"/>
          </w:tcPr>
          <w:p>
            <w:pPr>
              <w:pStyle w:val="TableContents"/>
              <w:bidi w:val="0"/>
              <w:spacing w:before="0" w:after="283"/>
              <w:jc w:val="left"/>
              <w:rPr/>
            </w:pPr>
            <w:r>
              <w:rPr/>
              <w:t>7</w:t>
            </w:r>
          </w:p>
        </w:tc>
        <w:tc>
          <w:tcPr>
            <w:tcW w:w="10006" w:type="dxa"/>
            <w:tcBorders/>
            <w:vAlign w:val="center"/>
          </w:tcPr>
          <w:p>
            <w:pPr>
              <w:pStyle w:val="TableContents"/>
              <w:bidi w:val="0"/>
              <w:spacing w:before="0" w:after="283"/>
              <w:jc w:val="left"/>
              <w:rPr/>
            </w:pPr>
            <w:r>
              <w:rPr>
                <w:rStyle w:val="SourceText"/>
              </w:rPr>
              <w:t>analytics</w:t>
            </w:r>
            <w:r>
              <w:rPr/>
              <w:t xml:space="preserve">, </w:t>
            </w:r>
            <w:r>
              <w:rPr>
                <w:rStyle w:val="SourceText"/>
              </w:rPr>
              <w:t>notifications</w:t>
            </w:r>
          </w:p>
        </w:tc>
        <w:tc>
          <w:tcPr>
            <w:tcW w:w="6673" w:type="dxa"/>
            <w:tcBorders/>
            <w:vAlign w:val="center"/>
          </w:tcPr>
          <w:p>
            <w:pPr>
              <w:pStyle w:val="TableContents"/>
              <w:bidi w:val="0"/>
              <w:spacing w:before="0" w:after="283"/>
              <w:jc w:val="left"/>
              <w:rPr/>
            </w:pPr>
            <w:r>
              <w:rPr/>
              <w:t>Leaves — last by construction, and buildable in parallel with 5–6</w:t>
            </w:r>
          </w:p>
        </w:tc>
      </w:tr>
      <w:tr>
        <w:trPr/>
        <w:tc>
          <w:tcPr>
            <w:tcW w:w="601" w:type="dxa"/>
            <w:tcBorders/>
            <w:vAlign w:val="center"/>
          </w:tcPr>
          <w:p>
            <w:pPr>
              <w:pStyle w:val="TableContents"/>
              <w:bidi w:val="0"/>
              <w:spacing w:before="0" w:after="283"/>
              <w:jc w:val="left"/>
              <w:rPr/>
            </w:pPr>
            <w:r>
              <w:rPr/>
              <w:t>8</w:t>
            </w:r>
          </w:p>
        </w:tc>
        <w:tc>
          <w:tcPr>
            <w:tcW w:w="10006" w:type="dxa"/>
            <w:tcBorders/>
            <w:vAlign w:val="center"/>
          </w:tcPr>
          <w:p>
            <w:pPr>
              <w:pStyle w:val="TableContents"/>
              <w:bidi w:val="0"/>
              <w:spacing w:before="0" w:after="283"/>
              <w:jc w:val="left"/>
              <w:rPr/>
            </w:pPr>
            <w:r>
              <w:rPr/>
              <w:t>Offline hardening, exports, pilot data governance</w:t>
            </w:r>
          </w:p>
        </w:tc>
        <w:tc>
          <w:tcPr>
            <w:tcW w:w="6673" w:type="dxa"/>
            <w:tcBorders/>
            <w:vAlign w:val="center"/>
          </w:tcPr>
          <w:p>
            <w:pPr>
              <w:pStyle w:val="TableContents"/>
              <w:bidi w:val="0"/>
              <w:spacing w:before="0" w:after="283"/>
              <w:jc w:val="left"/>
              <w:rPr/>
            </w:pPr>
            <w:r>
              <w:rPr/>
              <w:t>Field-readiness</w:t>
            </w:r>
          </w:p>
        </w:tc>
      </w:tr>
    </w:tbl>
    <w:p>
      <w:pPr>
        <w:pStyle w:val="BodyText"/>
        <w:bidi w:val="0"/>
        <w:jc w:val="left"/>
        <w:rPr/>
      </w:pPr>
      <w:r>
        <w:rPr/>
        <w:t>Step 2 is the one I would defend hardest against being skipped. It is where we find out whether the boundary enforcement in §10 and the port pattern in §8.2 actually work — and if they do not, we would rather know before eleven modules are written against them.</w:t>
      </w:r>
    </w:p>
    <w:p>
      <w:pPr>
        <w:pStyle w:val="HorizontalLine"/>
        <w:bidi w:val="0"/>
        <w:jc w:val="left"/>
        <w:rPr/>
      </w:pPr>
      <w:r>
        <w:rPr/>
      </w:r>
    </w:p>
    <w:p>
      <w:pPr>
        <w:pStyle w:val="Heading2"/>
        <w:bidi w:val="0"/>
        <w:jc w:val="left"/>
        <w:rPr/>
      </w:pPr>
      <w:r>
        <w:rPr/>
        <w:t>13. Architecture Decision Records</w:t>
      </w:r>
    </w:p>
    <w:p>
      <w:pPr>
        <w:pStyle w:val="BodyText"/>
        <w:bidi w:val="0"/>
        <w:jc w:val="left"/>
        <w:rPr/>
      </w:pPr>
      <w:r>
        <w:rPr/>
        <w:t xml:space="preserve">Four decisions from this stage are recorded as ADRs in </w:t>
      </w:r>
      <w:r>
        <w:rPr>
          <w:rStyle w:val="SourceText"/>
        </w:rPr>
        <w:t>docs/architecture/decisions/</w:t>
      </w:r>
      <w:r>
        <w:rPr/>
        <w:t>, because they will be questioned later by someone who was not in the room:</w:t>
      </w:r>
    </w:p>
    <w:tbl>
      <w:tblPr>
        <w:tblW w:w="8912" w:type="dxa"/>
        <w:jc w:val="left"/>
        <w:tblInd w:w="0" w:type="dxa"/>
        <w:tblLayout w:type="fixed"/>
        <w:tblCellMar>
          <w:top w:w="28" w:type="dxa"/>
          <w:left w:w="28" w:type="dxa"/>
          <w:bottom w:w="28" w:type="dxa"/>
          <w:right w:w="28" w:type="dxa"/>
        </w:tblCellMar>
      </w:tblPr>
      <w:tblGrid>
        <w:gridCol w:w="556"/>
        <w:gridCol w:w="8356"/>
      </w:tblGrid>
      <w:tr>
        <w:trPr>
          <w:tblHeader w:val="true"/>
        </w:trPr>
        <w:tc>
          <w:tcPr>
            <w:tcW w:w="556" w:type="dxa"/>
            <w:tcBorders/>
            <w:vAlign w:val="center"/>
          </w:tcPr>
          <w:p>
            <w:pPr>
              <w:pStyle w:val="TableHeading"/>
              <w:suppressLineNumbers/>
              <w:shd w:fill="0D1B33" w:val="clear"/>
              <w:bidi w:val="0"/>
              <w:spacing w:before="0" w:after="283"/>
              <w:jc w:val="left"/>
              <w:rPr/>
            </w:pPr>
            <w:r>
              <w:rPr/>
              <w:t>ADR</w:t>
            </w:r>
          </w:p>
        </w:tc>
        <w:tc>
          <w:tcPr>
            <w:tcW w:w="8356" w:type="dxa"/>
            <w:tcBorders/>
            <w:vAlign w:val="center"/>
          </w:tcPr>
          <w:p>
            <w:pPr>
              <w:pStyle w:val="TableHeading"/>
              <w:suppressLineNumbers/>
              <w:shd w:fill="0D1B33" w:val="clear"/>
              <w:bidi w:val="0"/>
              <w:spacing w:before="0" w:after="283"/>
              <w:jc w:val="left"/>
              <w:rPr/>
            </w:pPr>
            <w:r>
              <w:rPr/>
              <w:t>Decision</w:t>
            </w:r>
          </w:p>
        </w:tc>
      </w:tr>
      <w:tr>
        <w:trPr/>
        <w:tc>
          <w:tcPr>
            <w:tcW w:w="556" w:type="dxa"/>
            <w:tcBorders/>
            <w:vAlign w:val="center"/>
          </w:tcPr>
          <w:p>
            <w:pPr>
              <w:pStyle w:val="TableContents"/>
              <w:bidi w:val="0"/>
              <w:spacing w:before="0" w:after="283"/>
              <w:jc w:val="left"/>
              <w:rPr/>
            </w:pPr>
            <w:r>
              <w:rPr/>
              <w:t>0001</w:t>
            </w:r>
          </w:p>
        </w:tc>
        <w:tc>
          <w:tcPr>
            <w:tcW w:w="8356" w:type="dxa"/>
            <w:tcBorders/>
            <w:vAlign w:val="center"/>
          </w:tcPr>
          <w:p>
            <w:pPr>
              <w:pStyle w:val="TableContents"/>
              <w:bidi w:val="0"/>
              <w:spacing w:before="0" w:after="283"/>
              <w:jc w:val="left"/>
              <w:rPr/>
            </w:pPr>
            <w:r>
              <w:rPr/>
              <w:t>Modular monolith over microservices (§2)</w:t>
            </w:r>
          </w:p>
        </w:tc>
      </w:tr>
      <w:tr>
        <w:trPr/>
        <w:tc>
          <w:tcPr>
            <w:tcW w:w="556" w:type="dxa"/>
            <w:tcBorders/>
            <w:vAlign w:val="center"/>
          </w:tcPr>
          <w:p>
            <w:pPr>
              <w:pStyle w:val="TableContents"/>
              <w:bidi w:val="0"/>
              <w:spacing w:before="0" w:after="283"/>
              <w:jc w:val="left"/>
              <w:rPr/>
            </w:pPr>
            <w:r>
              <w:rPr/>
              <w:t>0002</w:t>
            </w:r>
          </w:p>
        </w:tc>
        <w:tc>
          <w:tcPr>
            <w:tcW w:w="8356" w:type="dxa"/>
            <w:tcBorders/>
            <w:vAlign w:val="center"/>
          </w:tcPr>
          <w:p>
            <w:pPr>
              <w:pStyle w:val="TableContents"/>
              <w:bidi w:val="0"/>
              <w:spacing w:before="0" w:after="283"/>
              <w:jc w:val="left"/>
              <w:rPr/>
            </w:pPr>
            <w:r>
              <w:rPr/>
              <w:t xml:space="preserve">Module internals are private; </w:t>
            </w:r>
            <w:r>
              <w:rPr>
                <w:rStyle w:val="SourceText"/>
              </w:rPr>
              <w:t>api.py</w:t>
            </w:r>
            <w:r>
              <w:rPr/>
              <w:t xml:space="preserve"> is the only cross-module surface, enforced in CI (§6, §10)</w:t>
            </w:r>
          </w:p>
        </w:tc>
      </w:tr>
      <w:tr>
        <w:trPr/>
        <w:tc>
          <w:tcPr>
            <w:tcW w:w="556" w:type="dxa"/>
            <w:tcBorders/>
            <w:vAlign w:val="center"/>
          </w:tcPr>
          <w:p>
            <w:pPr>
              <w:pStyle w:val="TableContents"/>
              <w:bidi w:val="0"/>
              <w:spacing w:before="0" w:after="283"/>
              <w:jc w:val="left"/>
              <w:rPr/>
            </w:pPr>
            <w:r>
              <w:rPr/>
              <w:t>0003</w:t>
            </w:r>
          </w:p>
        </w:tc>
        <w:tc>
          <w:tcPr>
            <w:tcW w:w="8356" w:type="dxa"/>
            <w:tcBorders/>
            <w:vAlign w:val="center"/>
          </w:tcPr>
          <w:p>
            <w:pPr>
              <w:pStyle w:val="TableContents"/>
              <w:bidi w:val="0"/>
              <w:spacing w:before="0" w:after="283"/>
              <w:jc w:val="left"/>
              <w:rPr/>
            </w:pPr>
            <w:r>
              <w:rPr/>
              <w:t>Cross-layer guards use dependency-inverted ports, not event-maintained counters (§8.2)</w:t>
            </w:r>
          </w:p>
        </w:tc>
      </w:tr>
      <w:tr>
        <w:trPr/>
        <w:tc>
          <w:tcPr>
            <w:tcW w:w="556" w:type="dxa"/>
            <w:tcBorders/>
            <w:vAlign w:val="center"/>
          </w:tcPr>
          <w:p>
            <w:pPr>
              <w:pStyle w:val="TableContents"/>
              <w:bidi w:val="0"/>
              <w:spacing w:before="0" w:after="283"/>
              <w:jc w:val="left"/>
              <w:rPr/>
            </w:pPr>
            <w:r>
              <w:rPr/>
              <w:t>0004</w:t>
            </w:r>
          </w:p>
        </w:tc>
        <w:tc>
          <w:tcPr>
            <w:tcW w:w="8356" w:type="dxa"/>
            <w:tcBorders/>
            <w:vAlign w:val="center"/>
          </w:tcPr>
          <w:p>
            <w:pPr>
              <w:pStyle w:val="TableContents"/>
              <w:bidi w:val="0"/>
              <w:spacing w:before="0" w:after="283"/>
              <w:jc w:val="left"/>
              <w:rPr/>
            </w:pPr>
            <w:r>
              <w:rPr/>
              <w:t>Transactional outbox with post-commit dispatch; no external I/O inside a transaction (§7.3)</w:t>
            </w:r>
          </w:p>
        </w:tc>
      </w:tr>
    </w:tbl>
    <w:p>
      <w:pPr>
        <w:pStyle w:val="HorizontalLine"/>
        <w:bidi w:val="0"/>
        <w:jc w:val="left"/>
        <w:rPr/>
      </w:pPr>
      <w:r>
        <w:rPr/>
      </w:r>
    </w:p>
    <w:p>
      <w:pPr>
        <w:pStyle w:val="Heading2"/>
        <w:bidi w:val="0"/>
        <w:jc w:val="left"/>
        <w:rPr/>
      </w:pPr>
      <w:r>
        <w:rPr/>
        <w:t>14. What Stage 5 and Stage 6 Inherit</w:t>
      </w:r>
    </w:p>
    <w:p>
      <w:pPr>
        <w:pStyle w:val="BodyText"/>
        <w:bidi w:val="0"/>
        <w:jc w:val="left"/>
        <w:rPr/>
      </w:pPr>
      <w:r>
        <w:rPr>
          <w:rStyle w:val="Strong"/>
        </w:rPr>
        <w:t>Stage 5 — Database Architecture</w:t>
      </w:r>
      <w:r>
        <w:rPr/>
        <w:t xml:space="preserve"> receives: the module-to-table ownership map (§4), the cross-module foreign key restriction (§7.5), the projection tables that must be rebuildable (MA-06), the platform tables (audit, outbox, idempotency), and the constraint list already recorded in SADD v2.0 §6.</w:t>
      </w:r>
    </w:p>
    <w:p>
      <w:pPr>
        <w:pStyle w:val="BodyText"/>
        <w:bidi w:val="0"/>
        <w:jc w:val="left"/>
        <w:rPr/>
      </w:pPr>
      <w:r>
        <w:rPr>
          <w:rStyle w:val="Strong"/>
        </w:rPr>
        <w:t>It is now unblocked.</w:t>
      </w:r>
      <w:r>
        <w:rPr/>
        <w:t xml:space="preserve"> OD-01 was resolved by JKUAT on 30 July 2026: a placement stores planned and actual date pairs, a pause extends </w:t>
      </w:r>
      <w:r>
        <w:rPr>
          <w:rStyle w:val="SourceText"/>
        </w:rPr>
        <w:t>actual_end</w:t>
      </w:r>
      <w:r>
        <w:rPr/>
        <w:t>, and each Pause Interval carries a controlled-vocabulary reason (POL-020, POL-021). Stage 5 therefore knows exactly which date columns exist and which are mutable. One outstanding question, OD-12, affects it only if the answer is yes: whether the research evaluation requires sex-disaggregated reporting, which would add an attribute to the University-owned student record and nowhere else (POL-013b).</w:t>
      </w:r>
    </w:p>
    <w:p>
      <w:pPr>
        <w:pStyle w:val="BodyText"/>
        <w:bidi w:val="0"/>
        <w:jc w:val="left"/>
        <w:rPr/>
      </w:pPr>
      <w:r>
        <w:rPr>
          <w:rStyle w:val="Strong"/>
        </w:rPr>
        <w:t>Stage 6 — API Design</w:t>
      </w:r>
      <w:r>
        <w:rPr/>
        <w:t xml:space="preserve"> receives: the command surface (Stage 3.5 Appendix A) as the operations to expose, the error catalogue (Stage 3 §12) as the response vocabulary, the requirement that every mutating endpoint accepts a client idempotency key (MA-18), and the rule that cross-scope denial is 404 rather than 403 (AUTH-004).</w:t>
      </w:r>
    </w:p>
    <w:p>
      <w:pPr>
        <w:pStyle w:val="BodyText"/>
        <w:bidi w:val="0"/>
        <w:jc w:val="left"/>
        <w:rPr/>
      </w:pPr>
      <w:r>
        <w:rPr/>
        <w:t>Neither inherits any freedom to redraw a module boundary. If either finds one that cannot work, that is a Stage 4 defect and this document changes — not a workaround in a lower layer.</w:t>
      </w:r>
    </w:p>
    <w:p>
      <w:pPr>
        <w:pStyle w:val="HorizontalLine"/>
        <w:bidi w:val="0"/>
        <w:jc w:val="left"/>
        <w:rPr/>
      </w:pPr>
      <w:r>
        <w:rPr/>
      </w:r>
    </w:p>
    <w:p>
      <w:pPr>
        <w:pStyle w:val="BodyText"/>
        <w:bidi w:val="0"/>
        <w:spacing w:before="0" w:after="283"/>
        <w:jc w:val="left"/>
        <w:rPr/>
      </w:pPr>
      <w:r>
        <w:rPr>
          <w:rStyle w:val="Emphasis"/>
        </w:rPr>
        <w:t>End of Stage 4: Module Architecture &amp; Module Communication — Sinaps Technology / JHUB Africa. Confidential.</w:t>
      </w:r>
    </w:p>
    <w:sectPr>
      <w:type w:val="nextPage"/>
      <w:pgSz w:w="11906" w:h="16838"/>
      <w:pgMar w:left="907" w:right="907" w:gutter="0" w:header="0" w:top="1134" w:footer="0" w:bottom="1134"/>
      <w:pgNumType w:fmt="decimal"/>
      <w:formProt w:val="false"/>
      <w:textDirection w:val="lrTb"/>
      <w:docGrid w:type="default" w:linePitch="600" w:charSpace="4259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altName w:val="Helvetica Neue"/>
    <w:charset w:val="01"/>
    <w:family w:val="auto"/>
    <w:pitch w:val="default"/>
  </w:font>
  <w:font w:name="Manrope">
    <w:altName w:val="Inter"/>
    <w:charset w:val="01"/>
    <w:family w:val="auto"/>
    <w:pitch w:val="default"/>
  </w:font>
  <w:font w:name="JetBrains Mono">
    <w:altName w:val="DejaVu Sans 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72"/>
    </w:pPr>
    <w:rPr>
      <w:rFonts w:ascii="Inter;Helvetica Neue;Arial;sans-serif" w:hAnsi="Inter;Helvetica Neue;Arial;sans-serif" w:eastAsia="Inter;Helvetica Neue;Arial;sans-serif" w:cs="Inter;Helvetica Neue;Arial;sans-serif"/>
      <w:color w:val="0D1B33"/>
      <w:sz w:val="19"/>
      <w:szCs w:val="19"/>
      <w:lang w:val="en-US" w:eastAsia="zh-CN" w:bidi="hi-IN"/>
    </w:rPr>
  </w:style>
  <w:style w:type="paragraph" w:styleId="Heading1">
    <w:name w:val="Heading 1"/>
    <w:basedOn w:val="Heading"/>
    <w:next w:val="BodyText"/>
    <w:qFormat/>
    <w:pPr>
      <w:spacing w:lineRule="auto" w:line="300"/>
    </w:pPr>
    <w:rPr>
      <w:rFonts w:ascii="Manrope;Inter;Arial;sans-serif" w:hAnsi="Manrope;Inter;Arial;sans-serif" w:eastAsia="Manrope;Inter;Arial;sans-serif" w:cs="Manrope;Inter;Arial;sans-serif"/>
      <w:b/>
      <w:bCs/>
      <w:color w:val="0D1B33"/>
      <w:sz w:val="48"/>
      <w:szCs w:val="44"/>
    </w:rPr>
  </w:style>
  <w:style w:type="paragraph" w:styleId="Heading2">
    <w:name w:val="Heading 2"/>
    <w:basedOn w:val="Heading"/>
    <w:next w:val="BodyText"/>
    <w:qFormat/>
    <w:pPr>
      <w:spacing w:lineRule="auto" w:line="300" w:before="200" w:after="120"/>
      <w:outlineLvl w:val="1"/>
    </w:pPr>
    <w:rPr>
      <w:rFonts w:ascii="Manrope;Inter;Arial;sans-serif" w:hAnsi="Manrope;Inter;Arial;sans-serif" w:eastAsia="Manrope;Inter;Arial;sans-serif" w:cs="Manrope;Inter;Arial;sans-serif"/>
      <w:b/>
      <w:bCs/>
      <w:color w:val="0D1B33"/>
      <w:sz w:val="32"/>
      <w:szCs w:val="32"/>
    </w:rPr>
  </w:style>
  <w:style w:type="paragraph" w:styleId="Heading3">
    <w:name w:val="Heading 3"/>
    <w:basedOn w:val="Heading"/>
    <w:next w:val="BodyText"/>
    <w:qFormat/>
    <w:pPr>
      <w:keepNext w:val="true"/>
      <w:spacing w:lineRule="auto" w:line="300" w:before="140" w:after="120"/>
      <w:outlineLvl w:val="2"/>
    </w:pPr>
    <w:rPr>
      <w:rFonts w:ascii="Manrope;Inter;Arial;sans-serif" w:hAnsi="Manrope;Inter;Arial;sans-serif" w:eastAsia="Manrope;Inter;Arial;sans-serif" w:cs="Manrope;Inter;Arial;sans-serif"/>
      <w:b/>
      <w:bCs/>
      <w:color w:val="1D8C8C"/>
      <w:sz w:val="24"/>
      <w:szCs w:val="24"/>
    </w:rPr>
  </w:style>
  <w:style w:type="paragraph" w:styleId="Heading4">
    <w:name w:val="Heading 4"/>
    <w:basedOn w:val="Heading"/>
    <w:next w:val="BodyText"/>
    <w:qFormat/>
    <w:pPr>
      <w:keepNext w:val="true"/>
      <w:spacing w:lineRule="auto" w:line="300" w:before="120" w:after="120"/>
      <w:outlineLvl w:val="3"/>
    </w:pPr>
    <w:rPr>
      <w:rFonts w:ascii="Manrope;Inter;Arial;sans-serif" w:hAnsi="Manrope;Inter;Arial;sans-serif" w:eastAsia="Manrope;Inter;Arial;sans-serif" w:cs="Manrope;Inter;Arial;sans-serif"/>
      <w:b/>
      <w:bCs/>
      <w:color w:val="0D1B33"/>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JetBrains Mono;DejaVu Sans Mono;monospace" w:hAnsi="JetBrains Mono;DejaVu Sans Mono;monospace" w:eastAsia="JetBrains Mono;DejaVu Sans Mono;monospace" w:cs="JetBrains Mono;DejaVu Sans Mono;monospace"/>
    </w:rPr>
  </w:style>
  <w:style w:type="character" w:styleId="Emphasis">
    <w:name w:val="Emphasis"/>
    <w:qFormat/>
    <w:rPr>
      <w:i/>
      <w:iCs/>
      <w:color w:val="0D1B33"/>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PreformattedTextcode">
    <w:name w:val="Preformatted Text.code"/>
    <w:basedOn w:val="PreformattedText"/>
    <w:qFormat/>
    <w:pPr>
      <w:keepLines/>
      <w:pBdr/>
      <w:shd w:fill="0D1B33" w:val="clear"/>
    </w:pPr>
    <w:rPr>
      <w:color w:val="EAF2F4"/>
      <w:sz w:val="17"/>
      <w:szCs w:val="17"/>
    </w:rPr>
  </w:style>
  <w:style w:type="paragraph" w:styleId="BlockQuotation">
    <w:name w:val="Block Quotation"/>
    <w:basedOn w:val="Normal"/>
    <w:qFormat/>
    <w:pPr>
      <w:spacing w:before="0" w:after="283"/>
      <w:ind w:hanging="0" w:left="567" w:right="567"/>
    </w:pPr>
    <w:rPr/>
  </w:style>
  <w:style w:type="paragraph" w:styleId="TableHeading">
    <w:name w:val="Table Heading"/>
    <w:basedOn w:val="TableContents"/>
    <w:qFormat/>
    <w:pPr>
      <w:suppressLineNumbers/>
      <w:shd w:fill="0D1B33" w:val="clear"/>
      <w:jc w:val="left"/>
    </w:pPr>
    <w:rPr>
      <w:b/>
      <w:bCs/>
      <w:color w:val="FFFFFF"/>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