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10972800" cy="6877050"/>
            <wp:effectExtent l="0" t="0" r="0" b="0"/>
            <wp:docPr id="1" name="Image1" descr="MentorM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entorMAM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Version 2.0 · Supersedes v1.0</w:t>
      </w:r>
    </w:p>
    <w:p>
      <w:pPr>
        <w:pStyle w:val="Heading1"/>
        <w:bidi w:val="0"/>
        <w:jc w:val="left"/>
        <w:rPr/>
      </w:pPr>
      <w:r>
        <w:rPr/>
        <w:t>System Analysis &amp; Design Document</w:t>
      </w:r>
    </w:p>
    <w:p>
      <w:pPr>
        <w:pStyle w:val="BodyText"/>
        <w:bidi w:val="0"/>
        <w:spacing w:before="0" w:after="0"/>
        <w:jc w:val="left"/>
        <w:rPr/>
      </w:pPr>
      <w:r>
        <w:rPr/>
        <w:t>Realigned to the confirmed domain model, rules, and workflows</w:t>
      </w:r>
    </w:p>
    <w:p>
      <w:pPr>
        <w:pStyle w:val="BodyText"/>
        <w:bidi w:val="0"/>
        <w:spacing w:before="0" w:after="0"/>
        <w:jc w:val="left"/>
        <w:rPr/>
      </w:pPr>
      <w:r>
        <w:rPr/>
        <w:t>The technical blueprint, corrected against the four design stages completed since v1.0 — with the data design and API sections deliberately marked provisional rather than fixed ahead of sequence.</w:t>
      </w:r>
    </w:p>
    <w:tbl>
      <w:tblPr>
        <w:tblW w:w="121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1"/>
        <w:gridCol w:w="10666"/>
      </w:tblGrid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</w:t>
            </w:r>
          </w:p>
        </w:tc>
        <w:tc>
          <w:tcPr>
            <w:tcW w:w="10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MentorMAMA — Digital Mentorship Toolkit for Safer Midwifery Clinical Placement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for</w:t>
            </w:r>
          </w:p>
        </w:tc>
        <w:tc>
          <w:tcPr>
            <w:tcW w:w="10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AfyaVentures 2026 Cohort / JHUB Africa Attachment Programme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10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Sinaps Technology — Bouric Okwaro Enos (Ric), Co-Founder &amp; Team Lead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type</w:t>
            </w:r>
          </w:p>
        </w:tc>
        <w:tc>
          <w:tcPr>
            <w:tcW w:w="10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System Analysis &amp; Design Document, following the JHUB Africa "Requirements to Reality" methodology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Supersedes</w:t>
            </w:r>
          </w:p>
        </w:tc>
        <w:tc>
          <w:tcPr>
            <w:tcW w:w="10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SADD v1.0 (July 2026) — see §11 for the change log and the Document Reconciliation Record for rationale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basis</w:t>
            </w:r>
          </w:p>
        </w:tc>
        <w:tc>
          <w:tcPr>
            <w:tcW w:w="10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Developer Concept Note v1.0, derived from Dr. Carolyne Kerubo Nyariki's research proposal, JKUAT School of Nursing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</w:t>
            </w:r>
          </w:p>
        </w:tc>
        <w:tc>
          <w:tcPr>
            <w:tcW w:w="10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10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July 2026</w:t>
            </w:r>
          </w:p>
        </w:tc>
      </w:tr>
    </w:tbl>
    <w:p>
      <w:pPr>
        <w:pStyle w:val="BodyText"/>
        <w:bidi w:val="0"/>
        <w:jc w:val="left"/>
        <w:rPr/>
      </w:pPr>
      <w:r>
        <w:rPr/>
        <w:t>Sinaps Technology  |  Driving Innovation Out of Isolation  ·  Confidential — Sinaps Technology / JHUB Africa</w:t>
      </w:r>
    </w:p>
    <w:p>
      <w:pPr>
        <w:pStyle w:val="Heading2"/>
        <w:bidi w:val="0"/>
        <w:jc w:val="left"/>
        <w:rPr/>
      </w:pPr>
      <w:r>
        <w:rPr/>
        <w:t>1. Introduction &amp; Purpose</w:t>
      </w:r>
    </w:p>
    <w:p>
      <w:pPr>
        <w:pStyle w:val="Heading3"/>
        <w:bidi w:val="0"/>
        <w:jc w:val="left"/>
        <w:rPr/>
      </w:pPr>
      <w:r>
        <w:rPr/>
        <w:t>1.1 What changed between v1.0 and v2.0</w:t>
      </w:r>
    </w:p>
    <w:p>
      <w:pPr>
        <w:pStyle w:val="BodyText"/>
        <w:bidi w:val="0"/>
        <w:jc w:val="left"/>
        <w:rPr/>
      </w:pPr>
      <w:r>
        <w:rPr/>
        <w:t xml:space="preserve">SADD v1.0 was written before the domain model existed. It went straight from the Concept Note's requirements to classes, tables, and endpoints — and in doing so it made a set of structural decisions that the subsequent design stages overturned. The most consequential: it modelled the mentorship relationship as a </w:t>
      </w:r>
      <w:r>
        <w:rPr>
          <w:rStyle w:val="Strong"/>
        </w:rPr>
        <w:t>junction table</w:t>
      </w:r>
      <w:r>
        <w:rPr/>
        <w:t xml:space="preserve"> (</w:t>
      </w:r>
      <w:r>
        <w:rPr>
          <w:rStyle w:val="SourceText"/>
        </w:rPr>
        <w:t>PlacementAssignment</w:t>
      </w:r>
      <w:r>
        <w:rPr/>
        <w:t>) rather than as an aggregate, which quietly meant that reassigning a mentor would overwrite the record of who had mentored the student until then.</w:t>
      </w:r>
    </w:p>
    <w:p>
      <w:pPr>
        <w:pStyle w:val="BodyText"/>
        <w:bidi w:val="0"/>
        <w:jc w:val="left"/>
        <w:rPr/>
      </w:pPr>
      <w:r>
        <w:rPr/>
        <w:t>v2.0 realigns this document to the four stages completed since:</w:t>
      </w:r>
    </w:p>
    <w:tbl>
      <w:tblPr>
        <w:tblW w:w="135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1"/>
        <w:gridCol w:w="10681"/>
      </w:tblGrid>
      <w:tr>
        <w:trPr>
          <w:tblHeader w:val="true"/>
        </w:trPr>
        <w:tc>
          <w:tcPr>
            <w:tcW w:w="282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Stage</w:t>
            </w:r>
          </w:p>
        </w:tc>
        <w:tc>
          <w:tcPr>
            <w:tcW w:w="1068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What it established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1 — Business Discovery</w:t>
            </w:r>
          </w:p>
        </w:tc>
        <w:tc>
          <w:tcPr>
            <w:tcW w:w="10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ecosystem: two independent institutions meeting at exactly one shared object; the data-ownership table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2 — Domain Model</w:t>
            </w:r>
          </w:p>
        </w:tc>
        <w:tc>
          <w:tcPr>
            <w:tcW w:w="10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Placement as aggregate root; assignments as sub-entities; bounded contexts; domain events; the placement lifecycle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3 — Business Rules v1.1</w:t>
            </w:r>
          </w:p>
        </w:tc>
        <w:tc>
          <w:tcPr>
            <w:tcW w:w="10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 policies, 18 invariants, 34 workflow rules, the transition tables, the authorization model, the error vocabulary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3.5 — Use Cases</w:t>
            </w:r>
          </w:p>
        </w:tc>
        <w:tc>
          <w:tcPr>
            <w:tcW w:w="10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eight workflows with guard order, transaction boundaries, events, and exception paths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Where this document and those stages disagree, </w:t>
      </w:r>
      <w:r>
        <w:rPr>
          <w:rStyle w:val="Strong"/>
        </w:rPr>
        <w:t>those stages win</w:t>
      </w:r>
      <w:r>
        <w:rPr/>
        <w:t xml:space="preserve"> and this document is the defect. That is the authority order set out in the Document Reconciliation Record §1.1.</w:t>
      </w:r>
    </w:p>
    <w:p>
      <w:pPr>
        <w:pStyle w:val="Heading3"/>
        <w:bidi w:val="0"/>
        <w:jc w:val="left"/>
        <w:rPr/>
      </w:pPr>
      <w:r>
        <w:rPr/>
        <w:t>1.2 Two sections are deliberately provisional</w:t>
      </w:r>
    </w:p>
    <w:p>
      <w:pPr>
        <w:pStyle w:val="BodyText"/>
        <w:bidi w:val="0"/>
        <w:jc w:val="left"/>
        <w:rPr/>
      </w:pPr>
      <w:r>
        <w:rPr>
          <w:rStyle w:val="Strong"/>
        </w:rPr>
        <w:t>§6 (Data Design) and §8.3 (API Design) are marked provisional and must not be built against.</w:t>
      </w:r>
      <w:r>
        <w:rPr/>
        <w:t xml:space="preserve"> Stage 5 (Database Architecture) and Stage 6 (API Design) have not yet been produced. Fixing those sections now would repeat exactly the mistake v1.0 made — specifying a schema and an endpoint list ahead of the design that should determine them. They are retained as early sketches, clearly labelled, so nobody mistakes them for a contract.</w:t>
      </w:r>
    </w:p>
    <w:p>
      <w:pPr>
        <w:pStyle w:val="Heading3"/>
        <w:bidi w:val="0"/>
        <w:jc w:val="left"/>
        <w:rPr/>
      </w:pPr>
      <w:r>
        <w:rPr/>
        <w:t>1.3 Constraints &amp; assumptions carried from the Concept Note</w:t>
      </w:r>
    </w:p>
    <w:p>
      <w:pPr>
        <w:pStyle w:val="BodyText"/>
        <w:bidi w:val="0"/>
        <w:jc w:val="left"/>
        <w:rPr/>
      </w:pPr>
      <w:r>
        <w:rPr/>
        <w:t>These are unchanged, and remain authoritative on scope: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patient-identifiable data anywhere in the MVP.</w:t>
      </w:r>
      <w:r>
        <w:rPr/>
        <w:t xml:space="preserve"> Structurally enforced: no such field exists to write to (INV-18). Open-text fields carry the instruction at the point of entry (POL-015).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system must work on common Android phones over weak (3G/4G) connections, with draft-saving and retry sync on the two forms mentors complete on the ward floor.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Pilot scope: one or two maternity units linked to JKUAT placement sites; 10–25 mentors; 30–80 students; 8–12 weeks.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 features are Phase 2 only, restricted to mentorship and training, never patient-specific guidance.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What the System Is</w:t>
      </w:r>
    </w:p>
    <w:p>
      <w:pPr>
        <w:pStyle w:val="BodyText"/>
        <w:bidi w:val="0"/>
        <w:jc w:val="left"/>
        <w:rPr/>
      </w:pPr>
      <w:r>
        <w:rPr/>
        <w:t xml:space="preserve">MentorMAMA is a </w:t>
      </w:r>
      <w:r>
        <w:rPr>
          <w:rStyle w:val="Strong"/>
        </w:rPr>
        <w:t>governance layer over a relationship that already exists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A university sends a student into a hospital ward it does not control, expecting a stranger employed by that hospital to supervise, teach, and vouch for that student's clinical competence. That relationship today runs on goodwill, paper checklists, and whoever is on shift.</w:t>
      </w:r>
    </w:p>
    <w:p>
      <w:pPr>
        <w:pStyle w:val="BodyText"/>
        <w:bidi w:val="0"/>
        <w:jc w:val="left"/>
        <w:rPr/>
      </w:pPr>
      <w:r>
        <w:rPr/>
        <w:t xml:space="preserve">The two real customers are the </w:t>
      </w:r>
      <w:r>
        <w:rPr>
          <w:rStyle w:val="Strong"/>
        </w:rPr>
        <w:t>University</w:t>
      </w:r>
      <w:r>
        <w:rPr/>
        <w:t xml:space="preserve">, accountable for producing competent midwives, and the </w:t>
      </w:r>
      <w:r>
        <w:rPr>
          <w:rStyle w:val="Strong"/>
        </w:rPr>
        <w:t>Hospital</w:t>
      </w:r>
      <w:r>
        <w:rPr/>
        <w:t>, accountable for what happens on its wards. They jointly own an outcome and share no system. Everything else in the product is instrumentation on top of that.</w:t>
      </w:r>
    </w:p>
    <w:p>
      <w:pPr>
        <w:pStyle w:val="BodyText"/>
        <w:bidi w:val="0"/>
        <w:jc w:val="left"/>
        <w:rPr/>
      </w:pPr>
      <w:r>
        <w:rPr/>
        <w:t xml:space="preserve">This framing has one dominant architectural consequence, and it is the reason the authorization model is the hardest part of this build: </w:t>
      </w:r>
      <w:r>
        <w:rPr>
          <w:rStyle w:val="Strong"/>
        </w:rPr>
        <w:t>neither institution has any authority inside the other.</w:t>
      </w:r>
      <w:r>
        <w:rPr/>
        <w:t xml:space="preserve"> A Nurse Manager does not outrank a University Coordinator. They are non-overlapping jurisdictions meeting at one object — the Placement. Access control is therefore not a role hierarchy; it is a scope intersection.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Actor &amp; Stakeholder Analysis</w:t>
      </w:r>
    </w:p>
    <w:p>
      <w:pPr>
        <w:pStyle w:val="Heading3"/>
        <w:bidi w:val="0"/>
        <w:jc w:val="left"/>
        <w:rPr/>
      </w:pPr>
      <w:r>
        <w:rPr/>
        <w:t>3.1 MVP actors — five human, one system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Corrected from v1.0</w:t>
      </w:r>
      <w:r>
        <w:rPr/>
        <w:t>, which listed seven actors including a CPD/Content Reviewer with MVP permissions. That role touches no part of the placement workflow, and the Concept Note itself defers regulator integration to Phase 2 (§19). It remains in the vocabulary; it is out of the authorization model.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7"/>
        <w:gridCol w:w="2640"/>
        <w:gridCol w:w="7556"/>
        <w:gridCol w:w="4857"/>
      </w:tblGrid>
      <w:tr>
        <w:trPr>
          <w:tblHeader w:val="true"/>
        </w:trPr>
        <w:tc>
          <w:tcPr>
            <w:tcW w:w="2227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Actor</w:t>
            </w:r>
          </w:p>
        </w:tc>
        <w:tc>
          <w:tcPr>
            <w:tcW w:w="2640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Belongs to</w:t>
            </w:r>
          </w:p>
        </w:tc>
        <w:tc>
          <w:tcPr>
            <w:tcW w:w="755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Core responsibilities</w:t>
            </w:r>
          </w:p>
        </w:tc>
        <w:tc>
          <w:tcPr>
            <w:tcW w:w="4857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Authorization boundary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Student</w:t>
            </w:r>
          </w:p>
        </w:tc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University (belongs to, not employed)</w:t>
            </w:r>
          </w:p>
        </w:tc>
        <w:tc>
          <w:tcPr>
            <w:tcW w:w="7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 placement, complete orientation, receive mentorship, submit feedback and confidence self-assessments, raise concerns</w:t>
            </w:r>
          </w:p>
        </w:tc>
        <w:tc>
          <w:tcPr>
            <w:tcW w:w="48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 placement records only. Never manages anyone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Clinical Mentor</w:t>
            </w:r>
          </w:p>
        </w:tc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Hospital (midwife, senior nurse, clinical instructor)</w:t>
            </w:r>
          </w:p>
        </w:tc>
        <w:tc>
          <w:tcPr>
            <w:tcW w:w="7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 training, complete induction per student, log mentorship sessions, review follow-ups</w:t>
            </w:r>
          </w:p>
        </w:tc>
        <w:tc>
          <w:tcPr>
            <w:tcW w:w="48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Placements where they are the </w:t>
            </w:r>
            <w:r>
              <w:rPr>
                <w:rStyle w:val="Strong"/>
              </w:rPr>
              <w:t>active</w:t>
            </w:r>
            <w:r>
              <w:rPr/>
              <w:t xml:space="preserve"> Mentor Assignment; own training record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Nurse Manager / Ward In-Charge</w:t>
            </w:r>
          </w:p>
        </w:tc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Hospital (operational manager)</w:t>
            </w:r>
          </w:p>
        </w:tc>
        <w:tc>
          <w:tcPr>
            <w:tcW w:w="7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Verify students and mentors, assign and reassign mentors, monitor induction and session activity, review and close escalations, pause and close placements, export facility reports</w:t>
            </w:r>
          </w:p>
        </w:tc>
        <w:tc>
          <w:tcPr>
            <w:tcW w:w="48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Facility-scoped, ward as a filter (AUTH-006)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University Coordinator</w:t>
            </w:r>
          </w:p>
        </w:tc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University</w:t>
            </w:r>
          </w:p>
        </w:tc>
        <w:tc>
          <w:tcPr>
            <w:tcW w:w="7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cohorts, enrol students, allocate students to facilities and wards, issue invitations, monitor placement quality, export institution reports</w:t>
            </w:r>
          </w:p>
        </w:tc>
        <w:tc>
          <w:tcPr>
            <w:tcW w:w="48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Institution-scoped; </w:t>
            </w:r>
            <w:r>
              <w:rPr>
                <w:rStyle w:val="Strong"/>
              </w:rPr>
              <w:t>session metadata only, never free text</w:t>
            </w:r>
            <w:r>
              <w:rPr/>
              <w:t>; never hospital staff records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Program Administrator</w:t>
            </w:r>
          </w:p>
        </w:tc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Platform / Programme (JHUB Africa)</w:t>
            </w:r>
          </w:p>
        </w:tc>
        <w:tc>
          <w:tcPr>
            <w:tcW w:w="7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Configure institutions, facilities, wards, users, modules and content; programme-wide analytics</w:t>
            </w:r>
          </w:p>
        </w:tc>
        <w:tc>
          <w:tcPr>
            <w:tcW w:w="48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Programme-scoped. Configuration authority is </w:t>
            </w:r>
            <w:r>
              <w:rPr>
                <w:rStyle w:val="Strong"/>
              </w:rPr>
              <w:t>not</w:t>
            </w:r>
            <w:r>
              <w:rPr/>
              <w:t xml:space="preserve"> domain authority — cannot violate an invariant</w:t>
            </w:r>
          </w:p>
        </w:tc>
      </w:tr>
      <w:tr>
        <w:trPr/>
        <w:tc>
          <w:tcPr>
            <w:tcW w:w="2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Notification Service</w:t>
            </w:r>
          </w:p>
        </w:tc>
        <w:tc>
          <w:tcPr>
            <w:tcW w:w="26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System actor</w:t>
            </w:r>
          </w:p>
        </w:tc>
        <w:tc>
          <w:tcPr>
            <w:tcW w:w="7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Dispatch email (now), SMS/WhatsApp (Phase 2) on domain events</w:t>
            </w:r>
          </w:p>
        </w:tc>
        <w:tc>
          <w:tcPr>
            <w:tcW w:w="48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Triggered by events only. Executes; never decides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Phase 2:</w:t>
      </w:r>
      <w:r>
        <w:rPr/>
        <w:t xml:space="preserve"> CPD/Content Reviewer — reviews training content and confirms completion for CPD purposes.</w:t>
      </w:r>
    </w:p>
    <w:p>
      <w:pPr>
        <w:pStyle w:val="Heading3"/>
        <w:bidi w:val="0"/>
        <w:jc w:val="left"/>
        <w:rPr/>
      </w:pPr>
      <w:r>
        <w:rPr/>
        <w:t>3.2 Out-of-scope actors</w:t>
      </w:r>
    </w:p>
    <w:p>
      <w:pPr>
        <w:pStyle w:val="BodyText"/>
        <w:bidi w:val="0"/>
        <w:jc w:val="left"/>
        <w:rPr/>
      </w:pPr>
      <w:r>
        <w:rPr/>
        <w:t>Patients and guardians are not actors and have no interface; no patient-identifiable data is captured. Finance and billing actors are out of scope, as payments are excluded from the MVP.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Use Case Analysis</w:t>
      </w:r>
    </w:p>
    <w:p>
      <w:pPr>
        <w:pStyle w:val="BodyText"/>
        <w:bidi w:val="0"/>
        <w:jc w:val="left"/>
        <w:rPr/>
      </w:pPr>
      <w:r>
        <w:rPr>
          <w:rStyle w:val="Strong"/>
        </w:rPr>
        <w:t>Superseded by Stage 3.5.</w:t>
      </w:r>
      <w:r>
        <w:rPr/>
        <w:t xml:space="preserve"> The eight core workflows are specified there with guard order, transaction boundaries, domain events, and exception paths. This section retains only the catalogue and its traceability; it does not restate the flows, because a second, shorter version of a specification is a second source of truth.</w:t>
      </w:r>
    </w:p>
    <w:tbl>
      <w:tblPr>
        <w:tblW w:w="117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"/>
        <w:gridCol w:w="5146"/>
        <w:gridCol w:w="4141"/>
        <w:gridCol w:w="1816"/>
      </w:tblGrid>
      <w:tr>
        <w:trPr>
          <w:tblHeader w:val="true"/>
        </w:trPr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Use case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Primary actor(s)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Stage 3.5 workflow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UC-01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Invite and activate account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Coordinator / Admin (invite); all roles (accept)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W-01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UC-02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 up institution, facility, ward, cohort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Program Admin, Coordinator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W-01, W-02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UC-03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placement and allocate ward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Coordinator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W-02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UC-04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Assign / reassign mentor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Nurse Manager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W-03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UC-05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 mentor training module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Clinical Mentor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W-03 precondition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UC-06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 labour ward induction and activate placement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Mentor, Nurse Manager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W-04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UC-07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 a mentorship session (incl. offline retry)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Clinical Mentor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W-05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UC-08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Submit feedback, baseline and final assessment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W-06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UC-09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Raise an escalation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Mentor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W-07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UC-10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Review, resolve and close an escalation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Nurse Manager, Coordinator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W-07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UC-11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 placement, report and archive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Nurse Manager, system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W-08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UC-12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View dashboard and export report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NM, Coordinator, Admin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W-08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UC-13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Receive automated notification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(via Notification Service)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Cross-cutting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Domain Model</w:t>
      </w:r>
    </w:p>
    <w:p>
      <w:pPr>
        <w:pStyle w:val="Heading3"/>
        <w:bidi w:val="0"/>
        <w:jc w:val="left"/>
        <w:rPr/>
      </w:pPr>
      <w:r>
        <w:rPr/>
        <w:t>5.1 Design approach — two corrections to v1.0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Correction 1: composition over role-inheritance is retained.</w:t>
      </w:r>
      <w:r>
        <w:rPr/>
        <w:t xml:space="preserve"> A single </w:t>
      </w:r>
      <w:r>
        <w:rPr>
          <w:rStyle w:val="SourceText"/>
        </w:rPr>
        <w:t>User</w:t>
      </w:r>
      <w:r>
        <w:rPr/>
        <w:t xml:space="preserve"> with a role attribute and role-scoped profile extensions, rather than a subclass hierarchy. This held up and is unchanged.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Correction 2: Placement is an aggregate, not a junction.</w:t>
      </w:r>
      <w:r>
        <w:rPr/>
        <w:t xml:space="preserve"> v1.0's </w:t>
      </w:r>
      <w:r>
        <w:rPr>
          <w:rStyle w:val="SourceText"/>
        </w:rPr>
        <w:t>PlacementAssignment</w:t>
      </w:r>
      <w:r>
        <w:rPr/>
        <w:t xml:space="preserve"> joined Student ↔ Mentor ↔ Ward ↔ Cohort in one row. Stage 2 replaced this with a Placement aggregate root containing </w:t>
      </w:r>
      <w:r>
        <w:rPr>
          <w:rStyle w:val="Strong"/>
        </w:rPr>
        <w:t>assignment sub-entities</w:t>
      </w:r>
      <w:r>
        <w:rPr/>
        <w:t>, each with its own validity period: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>Placement  (aggregate root)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Student Assignment      (exactly one active — INV-01)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Mentor Assignment       (exactly one active, history preserved — POL-005, INV-12)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Ward Assignment         (exactly one active, history preserved — POL-004)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Induction Checklist     (one per placement, survives mentor reassignment)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Mentorship Sessions     (belong to the placement, not to a person — INV-03)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Pause Intervals         (first-class records, not a boolean)</w:t>
      </w:r>
    </w:p>
    <w:p>
      <w:pPr>
        <w:pStyle w:val="PreformattedTextcode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Progress                (computed, never stored as authored truth)</w:t>
      </w:r>
    </w:p>
    <w:p>
      <w:pPr>
        <w:pStyle w:val="BodyText"/>
        <w:bidi w:val="0"/>
        <w:jc w:val="left"/>
        <w:rPr/>
      </w:pPr>
      <w:r>
        <w:rPr/>
        <w:t xml:space="preserve">The reason this matters in one sentence: </w:t>
      </w:r>
      <w:r>
        <w:rPr>
          <w:rStyle w:val="Strong"/>
        </w:rPr>
        <w:t>assignments change independently, and the history is the product.</w:t>
      </w:r>
      <w:r>
        <w:rPr/>
        <w:t xml:space="preserve"> A mentor goes on leave in week 3; a student rotates ward in week 4. A junction row overwrites both facts, and the university loses the ability to say who was responsible for what.</w:t>
      </w:r>
    </w:p>
    <w:p>
      <w:pPr>
        <w:pStyle w:val="BodyText"/>
        <w:bidi w:val="0"/>
        <w:jc w:val="left"/>
        <w:rPr/>
      </w:pPr>
      <w:r>
        <w:rPr/>
        <w:t xml:space="preserve">Adjacent aggregates, deliberately </w:t>
      </w:r>
      <w:r>
        <w:rPr>
          <w:rStyle w:val="Strong"/>
        </w:rPr>
        <w:t>not</w:t>
      </w:r>
      <w:r>
        <w:rPr/>
        <w:t xml:space="preserve"> inside Placement:</w:t>
      </w:r>
    </w:p>
    <w:tbl>
      <w:tblPr>
        <w:tblW w:w="148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46"/>
        <w:gridCol w:w="10291"/>
      </w:tblGrid>
      <w:tr>
        <w:trPr>
          <w:tblHeader w:val="true"/>
        </w:trPr>
        <w:tc>
          <w:tcPr>
            <w:tcW w:w="454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Aggregate</w:t>
            </w:r>
          </w:p>
        </w:tc>
        <w:tc>
          <w:tcPr>
            <w:tcW w:w="1029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Why it is separate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Institution</w:t>
            </w:r>
            <w:r>
              <w:rPr/>
              <w:t xml:space="preserve"> (→ Cohorts) / </w:t>
            </w:r>
            <w:r>
              <w:rPr>
                <w:rStyle w:val="Strong"/>
              </w:rPr>
              <w:t>Facility</w:t>
            </w:r>
            <w:r>
              <w:rPr/>
              <w:t xml:space="preserve"> (→ Wards)</w:t>
            </w:r>
          </w:p>
        </w:tc>
        <w:tc>
          <w:tcPr>
            <w:tcW w:w="10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Organisational scoping; outlive any placement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Training Module</w:t>
            </w:r>
            <w:r>
              <w:rPr/>
              <w:t xml:space="preserve"> (→ Lessons, Quiz, Completions)</w:t>
            </w:r>
          </w:p>
        </w:tc>
        <w:tc>
          <w:tcPr>
            <w:tcW w:w="10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 training is facility-independent and outlives any single student relationship (POL-010)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Escalation</w:t>
            </w:r>
            <w:r>
              <w:rPr/>
              <w:t xml:space="preserve"> (→ Reviews, Actions)</w:t>
            </w:r>
          </w:p>
        </w:tc>
        <w:tc>
          <w:tcPr>
            <w:tcW w:w="10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References a placement but has its own lifecycle and its own restricted visibility (INV-13)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Assessment</w:t>
            </w:r>
            <w:r>
              <w:rPr/>
              <w:t xml:space="preserve"> (feedback, confidence, evaluations)</w:t>
            </w:r>
          </w:p>
        </w:tc>
        <w:tc>
          <w:tcPr>
            <w:tcW w:w="10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Evolves independently of the placement workflow; new survey instruments must not require placement changes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5.2 Bounded contexts</w:t>
      </w:r>
    </w:p>
    <w:tbl>
      <w:tblPr>
        <w:tblW w:w="97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6"/>
        <w:gridCol w:w="4501"/>
        <w:gridCol w:w="3556"/>
      </w:tblGrid>
      <w:tr>
        <w:trPr>
          <w:tblHeader w:val="true"/>
        </w:trPr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Context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Owns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Identity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User, credentials, scope resolution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organisation per user (AUTH-003)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Institution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Institution, Cohort, student enrolment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University side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Facility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Facility, Ward, capacity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Hospital side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Placement (core)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Placement, assignments, pauses, state machine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core domain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Induction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Checklist templates (versioned), checklists, items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Placement-bound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Mentorship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Mentorship Sessions, follow-ups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Placement-bound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Learning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Training Modules, quizzes, completions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Facility-independent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Assessment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Feedback, confidence, evaluations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Immutable submissions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Safeguarding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Escalations, reviews, actions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Strictest access control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Analytics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Projections, dashboards, exports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Read-only, event-fed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Notification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Delivery only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Never decides (WFR-023)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5.3 Placement lifecycle</w:t>
      </w:r>
    </w:p>
    <w:p>
      <w:pPr>
        <w:pStyle w:val="BodyText"/>
        <w:bidi w:val="0"/>
        <w:jc w:val="left"/>
        <w:rPr/>
      </w:pPr>
      <w:r>
        <w:rPr/>
        <w:t xml:space="preserve">Ten states, seventeen transitions, defined authoritatively in Stage 3 §5.2. Summary: </w:t>
      </w:r>
      <w:r>
        <w:rPr>
          <w:rStyle w:val="SourceText"/>
        </w:rPr>
        <w:t>Draft → Scheduled → Awaiting Student → Orientation → Induction → Active → Completed → Archived</w:t>
      </w:r>
      <w:r>
        <w:rPr/>
        <w:t xml:space="preserve">, with </w:t>
      </w:r>
      <w:r>
        <w:rPr>
          <w:rStyle w:val="SourceText"/>
        </w:rPr>
        <w:t>Active ⇄ Paused</w:t>
      </w:r>
      <w:r>
        <w:rPr/>
        <w:t xml:space="preserve"> lateral and </w:t>
      </w:r>
      <w:r>
        <w:rPr>
          <w:rStyle w:val="SourceText"/>
        </w:rPr>
        <w:t>Withdrawn</w:t>
      </w:r>
      <w:r>
        <w:rPr/>
        <w:t xml:space="preserve"> reachable from every non-terminal state.</w:t>
      </w:r>
    </w:p>
    <w:p>
      <w:pPr>
        <w:pStyle w:val="BodyText"/>
        <w:bidi w:val="0"/>
        <w:jc w:val="left"/>
        <w:rPr/>
      </w:pPr>
      <w:r>
        <w:rPr/>
        <w:t>Two properties of this model that v1.0 lacked entirely: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A placement cannot become </w:t>
      </w:r>
      <w:r>
        <w:rPr>
          <w:rStyle w:val="SourceText"/>
        </w:rPr>
        <w:t>Active</w:t>
      </w:r>
      <w:r>
        <w:rPr>
          <w:rStyle w:val="Strong"/>
        </w:rPr>
        <w:t xml:space="preserve"> until induction is complete</w:t>
      </w:r>
      <w:r>
        <w:rPr/>
        <w:t xml:space="preserve"> (INV-02). This is the core product promise — no unoriented student practising on a labour ward — and it is enforced in a transaction, not by screen order.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Escalation has an independent lifecycle</w:t>
      </w:r>
      <w:r>
        <w:rPr/>
        <w:t xml:space="preserve"> (</w:t>
      </w:r>
      <w:r>
        <w:rPr>
          <w:rStyle w:val="SourceText"/>
        </w:rPr>
        <w:t>Open → Under Review → Action Required → Resolved → Closed</w:t>
      </w:r>
      <w:r>
        <w:rPr/>
        <w:t xml:space="preserve">) and never redefines a placement's state. A placement stays </w:t>
      </w:r>
      <w:r>
        <w:rPr>
          <w:rStyle w:val="SourceText"/>
        </w:rPr>
        <w:t>Active</w:t>
      </w:r>
      <w:r>
        <w:rPr/>
        <w:t xml:space="preserve"> while a concern is investigated, and multiple escalations can coexist. </w:t>
      </w:r>
    </w:p>
    <w:p>
      <w:pPr>
        <w:pStyle w:val="Heading3"/>
        <w:bidi w:val="0"/>
        <w:jc w:val="left"/>
        <w:rPr/>
      </w:pPr>
      <w:r>
        <w:rPr/>
        <w:t>5.4 Value objects</w:t>
      </w:r>
    </w:p>
    <w:p>
      <w:pPr>
        <w:pStyle w:val="BodyText"/>
        <w:bidi w:val="0"/>
        <w:jc w:val="left"/>
        <w:rPr/>
      </w:pPr>
      <w:r>
        <w:rPr/>
        <w:t>Person Name · Phone Number · Email · Placement Period · Competency Score · Ward Capacity · Progress Summary.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Progress Summary</w:t>
      </w:r>
      <w:r>
        <w:rPr/>
        <w:t xml:space="preserve"> is computed on read, never persisted as an editable field (WFR-022) — a correction to v1.0's </w:t>
      </w:r>
      <w:r>
        <w:rPr>
          <w:rStyle w:val="SourceText"/>
        </w:rPr>
        <w:t>DashboardMetric</w:t>
      </w:r>
      <w:r>
        <w:rPr/>
        <w:t xml:space="preserve"> entity with stored </w:t>
      </w:r>
      <w:r>
        <w:rPr>
          <w:rStyle w:val="SourceText"/>
        </w:rPr>
        <w:t>numerator</w:t>
      </w:r>
      <w:r>
        <w:rPr/>
        <w:t>/</w:t>
      </w:r>
      <w:r>
        <w:rPr>
          <w:rStyle w:val="SourceText"/>
        </w:rPr>
        <w:t>denominator</w:t>
      </w:r>
      <w:r>
        <w:rPr/>
        <w:t xml:space="preserve"> columns.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Data Design — ⚠️ PROVISIONAL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This section is not authoritative and must not be built against.</w:t>
      </w:r>
      <w:r>
        <w:rPr/>
        <w:t xml:space="preserve"> The relational schema is the </w:t>
      </w:r>
      <w:r>
        <w:rPr>
          <w:rStyle w:val="Strong"/>
        </w:rPr>
        <w:t>Stage 5</w:t>
      </w:r>
      <w:r>
        <w:rPr/>
        <w:t xml:space="preserve"> deliverable and does not yet exist. What follows states only the constraints that Stage 5 must satisfy, which are already known from Stage 3. The ERD, data dictionary, and indexing strategy in SADD v1.0 §5 are withdrawn: they described the junction-table model that Stage 2 replaced.</w:t>
      </w:r>
    </w:p>
    <w:p>
      <w:pPr>
        <w:pStyle w:val="BodyText"/>
        <w:bidi w:val="0"/>
        <w:jc w:val="left"/>
        <w:rPr/>
      </w:pPr>
      <w:r>
        <w:rPr/>
        <w:t>Constraints Stage 5 must honour, each traceable to a rule:</w:t>
      </w:r>
    </w:p>
    <w:tbl>
      <w:tblPr>
        <w:tblW w:w="141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01"/>
        <w:gridCol w:w="2116"/>
      </w:tblGrid>
      <w:tr>
        <w:trPr>
          <w:tblHeader w:val="true"/>
        </w:trPr>
        <w:tc>
          <w:tcPr>
            <w:tcW w:w="1200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Requirement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Source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Partial unique indexes guaranteeing exactly one </w:t>
            </w:r>
            <w:r>
              <w:rPr>
                <w:rStyle w:val="Emphasis"/>
              </w:rPr>
              <w:t>active</w:t>
            </w:r>
            <w:r>
              <w:rPr/>
              <w:t xml:space="preserve"> Student / Mentor / Ward Assignment per placement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INV-01, INV-12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 constraints on all score ranges (0–100, 1–5)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INV-15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Immutability of submitted feedback and assessments, and of terminal-state placements, enforced in the database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INV-09, INV-14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delete paths on operational tables; soft-archive only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INV-10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Denormalised </w:t>
            </w:r>
            <w:r>
              <w:rPr>
                <w:rStyle w:val="SourceText"/>
              </w:rPr>
              <w:t>institution_id</w:t>
            </w:r>
            <w:r>
              <w:rPr/>
              <w:t xml:space="preserve"> / </w:t>
            </w:r>
            <w:r>
              <w:rPr>
                <w:rStyle w:val="SourceText"/>
              </w:rPr>
              <w:t>facility_id</w:t>
            </w:r>
            <w:r>
              <w:rPr/>
              <w:t xml:space="preserve"> on Placement for row-level scoping, with an invariant guaranteeing they equal derived values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POL-006, INV-17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Ward capacity enforced under a row lock, not a read-then-write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INV-16, WFR-029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Append-only audit table carrying actor, role, scope, action, target, before/after — and never restricted field values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WFR-030, WFR-034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transactional outbox table, written in the same transaction as the domain rows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WFR-026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Versioned induction checklist templates, so live checklists never mutate underneath a mentor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3.5 §6.3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Anonymous feedback with </w:t>
            </w:r>
            <w:r>
              <w:rPr>
                <w:rStyle w:val="Strong"/>
              </w:rPr>
              <w:t>no</w:t>
            </w:r>
            <w:r>
              <w:rPr/>
              <w:t xml:space="preserve"> placement or student reference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POL-014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Optimistic version column or row-lock discipline on Placement for all state transitions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WFR-028</w:t>
            </w:r>
          </w:p>
        </w:tc>
      </w:tr>
      <w:tr>
        <w:trPr/>
        <w:tc>
          <w:tcPr>
            <w:tcW w:w="12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Third normal form, with checklist items and scores as rows rather than JSON blobs — the data is audit and CPD evidence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Carried from v1.0 §5.1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One decision blocks Stage 5: </w:t>
      </w:r>
      <w:r>
        <w:rPr>
          <w:rStyle w:val="Strong"/>
        </w:rPr>
        <w:t>OD-01</w:t>
      </w:r>
      <w:r>
        <w:rPr/>
        <w:t xml:space="preserve"> — whether a pause extends the placement end date determines whether placement dates are mutable, and therefore whether planned and actual dates are separate columns.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System Architecture</w:t>
      </w:r>
    </w:p>
    <w:p>
      <w:pPr>
        <w:pStyle w:val="Heading3"/>
        <w:bidi w:val="0"/>
        <w:jc w:val="left"/>
        <w:rPr/>
      </w:pPr>
      <w:r>
        <w:rPr/>
        <w:t>7.1 Pattern</w:t>
      </w:r>
    </w:p>
    <w:p>
      <w:pPr>
        <w:pStyle w:val="BodyText"/>
        <w:bidi w:val="0"/>
        <w:jc w:val="left"/>
        <w:rPr/>
      </w:pPr>
      <w:r>
        <w:rPr/>
        <w:t>A 3-tier layered architecture — Presentation, Application, Data — right-sized for a 3–6 developer team and affordable managed hosting.</w:t>
      </w:r>
    </w:p>
    <w:tbl>
      <w:tblPr>
        <w:tblW w:w="145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8701"/>
        <w:gridCol w:w="4516"/>
      </w:tblGrid>
      <w:tr>
        <w:trPr>
          <w:tblHeader w:val="true"/>
        </w:trPr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Tier</w:t>
            </w:r>
          </w:p>
        </w:tc>
        <w:tc>
          <w:tcPr>
            <w:tcW w:w="870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Responsibility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Stack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Presentation</w:t>
            </w:r>
          </w:p>
        </w:tc>
        <w:tc>
          <w:tcPr>
            <w:tcW w:w="8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Mobile-first PWA: dashboards, forms, checklists, local draft store and client outbox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+ TypeScript + Vite; Tailwind CSS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Application</w:t>
            </w:r>
          </w:p>
        </w:tc>
        <w:tc>
          <w:tcPr>
            <w:tcW w:w="8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Authentication, scope resolution, domain services, invariant enforcement, transactional outbox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Django + DRF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</w:t>
            </w:r>
          </w:p>
        </w:tc>
        <w:tc>
          <w:tcPr>
            <w:tcW w:w="8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Relational storage, projections, caching, file storage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PostgreSQL; Redis; S3-compatible object storage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7.2 Module architecture — deferred to Stage 4, with one conclusion already fixed</w:t>
      </w:r>
    </w:p>
    <w:p>
      <w:pPr>
        <w:pStyle w:val="BodyText"/>
        <w:bidi w:val="0"/>
        <w:jc w:val="left"/>
        <w:rPr/>
      </w:pPr>
      <w:r>
        <w:rPr/>
        <w:t>Stage 4 will define module boundaries from the command and event surfaces in Stage 3.5 Appendices A and B. One finding is recorded here because it affects the existing codebase: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current backend app layout cannot express the domain.</w:t>
      </w:r>
      <w:r>
        <w:rPr/>
        <w:t xml:space="preserve"> </w:t>
      </w:r>
      <w:r>
        <w:rPr>
          <w:rStyle w:val="SourceText"/>
        </w:rPr>
        <w:t>backend/apps/</w:t>
      </w:r>
      <w:r>
        <w:rPr/>
        <w:t xml:space="preserve"> contains </w:t>
      </w:r>
      <w:r>
        <w:rPr>
          <w:rStyle w:val="SourceText"/>
        </w:rPr>
        <w:t>sessions</w:t>
      </w:r>
      <w:r>
        <w:rPr/>
        <w:t xml:space="preserve">, </w:t>
      </w:r>
      <w:r>
        <w:rPr>
          <w:rStyle w:val="SourceText"/>
        </w:rPr>
        <w:t>induction</w:t>
      </w:r>
      <w:r>
        <w:rPr/>
        <w:t xml:space="preserve">, </w:t>
      </w:r>
      <w:r>
        <w:rPr>
          <w:rStyle w:val="SourceText"/>
        </w:rPr>
        <w:t>feedback</w:t>
      </w:r>
      <w:r>
        <w:rPr/>
        <w:t xml:space="preserve">, </w:t>
      </w:r>
      <w:r>
        <w:rPr>
          <w:rStyle w:val="SourceText"/>
        </w:rPr>
        <w:t>escalations</w:t>
      </w:r>
      <w:r>
        <w:rPr/>
        <w:t xml:space="preserve">, </w:t>
      </w:r>
      <w:r>
        <w:rPr>
          <w:rStyle w:val="SourceText"/>
        </w:rPr>
        <w:t>training</w:t>
      </w:r>
      <w:r>
        <w:rPr/>
        <w:t xml:space="preserve">, </w:t>
      </w:r>
      <w:r>
        <w:rPr>
          <w:rStyle w:val="SourceText"/>
        </w:rPr>
        <w:t>facilities</w:t>
      </w:r>
      <w:r>
        <w:rPr/>
        <w:t xml:space="preserve">, </w:t>
      </w:r>
      <w:r>
        <w:rPr>
          <w:rStyle w:val="SourceText"/>
        </w:rPr>
        <w:t>dashboards</w:t>
      </w:r>
      <w:r>
        <w:rPr/>
        <w:t xml:space="preserve">, and </w:t>
      </w:r>
      <w:r>
        <w:rPr>
          <w:rStyle w:val="SourceText"/>
        </w:rPr>
        <w:t>content_library</w:t>
      </w:r>
      <w:r>
        <w:rPr/>
        <w:t xml:space="preserve"> — but </w:t>
      </w:r>
      <w:r>
        <w:rPr>
          <w:rStyle w:val="Strong"/>
        </w:rPr>
        <w:t xml:space="preserve">no </w:t>
      </w:r>
      <w:r>
        <w:rPr>
          <w:rStyle w:val="SourceText"/>
        </w:rPr>
        <w:t>placements</w:t>
      </w:r>
      <w:r>
        <w:rPr>
          <w:rStyle w:val="Strong"/>
        </w:rPr>
        <w:t xml:space="preserve"> app at all.</w:t>
      </w:r>
      <w:r>
        <w:rPr/>
        <w:t xml:space="preserve"> The aggregate root that coordinates all eight workflows has no home, while three of its children each have their own. Additionally, </w:t>
      </w:r>
      <w:r>
        <w:rPr>
          <w:rStyle w:val="SourceText"/>
        </w:rPr>
        <w:t>apps/sessions</w:t>
      </w:r>
      <w:r>
        <w:rPr/>
        <w:t xml:space="preserve"> collides in name with </w:t>
      </w:r>
      <w:r>
        <w:rPr>
          <w:rStyle w:val="SourceText"/>
        </w:rPr>
        <w:t>django.contrib.sessions</w:t>
      </w:r>
      <w:r>
        <w:rPr/>
        <w:t>. Stage 4 should restructure around the bounded contexts in §5.2 and treat the existing app list as scaffolding to be replaced — cheap now, expensive once migrations exist.</w:t>
      </w:r>
    </w:p>
    <w:p>
      <w:pPr>
        <w:pStyle w:val="Heading3"/>
        <w:bidi w:val="0"/>
        <w:jc w:val="left"/>
        <w:rPr/>
      </w:pPr>
      <w:r>
        <w:rPr/>
        <w:t>7.3 Cross-cutting concerns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2"/>
        <w:gridCol w:w="13405"/>
        <w:gridCol w:w="1933"/>
      </w:tblGrid>
      <w:tr>
        <w:trPr>
          <w:tblHeader w:val="true"/>
        </w:trPr>
        <w:tc>
          <w:tcPr>
            <w:tcW w:w="1942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Concern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Approach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Rule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Scope resolution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Derived server-side from the authenticated principal on every request. Never read from a request body, and </w:t>
            </w:r>
            <w:r>
              <w:rPr>
                <w:rStyle w:val="Strong"/>
              </w:rPr>
              <w:t>never trusted from a token claim</w:t>
            </w:r>
            <w:r>
              <w:rPr/>
              <w:t xml:space="preserve"> — a claim is a cached copy that goes stale the moment a mentor is reassigned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AUTH-001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Row-level scoping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Applied at the data-access layer, not the view layer. An endpoint that forgets its filter returns nothing, not everything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AUTH-002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Field-level restrictions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Applied in serialisation, so no code path can leak a restricted field by returning a "full" object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AUTH-005, INV-13, POL-016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Offline support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Local drafts plus a client outbox with a </w:t>
            </w:r>
            <w:r>
              <w:rPr>
                <w:rStyle w:val="SourceText"/>
              </w:rPr>
              <w:t>command_id</w:t>
            </w:r>
            <w:r>
              <w:rPr/>
              <w:t xml:space="preserve"> generated at form-open time; server-side idempotency; late replays validated against </w:t>
            </w:r>
            <w:r>
              <w:rPr>
                <w:rStyle w:val="Strong"/>
              </w:rPr>
              <w:t>current</w:t>
            </w:r>
            <w:r>
              <w:rPr/>
              <w:t xml:space="preserve"> state and surfaced to the user if they no longer apply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3.5 §2.4, §7.4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Side effects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Transactional outbox: events written in-transaction, dispatched after commit with retry. No external I/O inside a transaction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WFR-026, WFR-027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Notifications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in MVP; SMS/WhatsApp Phase 2. Payloads carry identifiers and a template key — never escalation content, individual feedback, or session free text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WFR-025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Exports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First-class, scope-filtered, field-restricted, and audited with actor, scope, filters, and row count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TX-09, WFR-032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Audit</w:t>
            </w:r>
          </w:p>
        </w:tc>
        <w:tc>
          <w:tcPr>
            <w:tcW w:w="13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Append-only on every write; reads audited for escalation content, individual feedback, and exports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WFR-030, WFR-032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7.4 Authentication &amp; authorisation</w:t>
      </w:r>
    </w:p>
    <w:p>
      <w:pPr>
        <w:pStyle w:val="BodyText"/>
        <w:bidi w:val="0"/>
        <w:jc w:val="left"/>
        <w:rPr/>
      </w:pPr>
      <w:r>
        <w:rPr/>
        <w:t>Invite-only accounts — no self-service sign-up, since every account must be tied to a verified institution or facility. Authentication is email/phone plus password with invite redemption.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Corrected from v1.0:</w:t>
      </w:r>
      <w:r>
        <w:rPr/>
        <w:t xml:space="preserve"> tokens carry </w:t>
      </w:r>
      <w:r>
        <w:rPr>
          <w:rStyle w:val="Strong"/>
        </w:rPr>
        <w:t>identity</w:t>
      </w:r>
      <w:r>
        <w:rPr/>
        <w:t xml:space="preserve">, not authority. v1.0 put </w:t>
      </w:r>
      <w:r>
        <w:rPr>
          <w:rStyle w:val="SourceText"/>
        </w:rPr>
        <w:t>facility_id</w:t>
      </w:r>
      <w:r>
        <w:rPr/>
        <w:t>/</w:t>
      </w:r>
      <w:r>
        <w:rPr>
          <w:rStyle w:val="SourceText"/>
        </w:rPr>
        <w:t>institution_id</w:t>
      </w:r>
      <w:r>
        <w:rPr/>
        <w:t xml:space="preserve"> claims in the JWT and checked them at middleware; that grants a reassigned or deactivated user their old access until the token expires. Scope is resolved per request from the user record.</w:t>
      </w:r>
    </w:p>
    <w:p>
      <w:pPr>
        <w:pStyle w:val="BodyText"/>
        <w:bidi w:val="0"/>
        <w:jc w:val="left"/>
        <w:rPr/>
      </w:pPr>
      <w:r>
        <w:rPr/>
        <w:t xml:space="preserve">Cross-scope access returns </w:t>
      </w:r>
      <w:r>
        <w:rPr>
          <w:rStyle w:val="Strong"/>
        </w:rPr>
        <w:t>404, not 403</w:t>
      </w:r>
      <w:r>
        <w:rPr/>
        <w:t xml:space="preserve"> (AUTH-004): a 403 confirms the record exists, which is itself a disclosure when the record is a placement at another facility.</w:t>
      </w:r>
    </w:p>
    <w:p>
      <w:pPr>
        <w:pStyle w:val="BodyText"/>
        <w:bidi w:val="0"/>
        <w:jc w:val="left"/>
        <w:rPr/>
      </w:pPr>
      <w:r>
        <w:rPr/>
        <w:t>The full action matrix is Stage 3 §9.2 and is not duplicated here.</w:t>
      </w:r>
    </w:p>
    <w:p>
      <w:pPr>
        <w:pStyle w:val="Heading3"/>
        <w:bidi w:val="0"/>
        <w:jc w:val="left"/>
        <w:rPr/>
      </w:pPr>
      <w:r>
        <w:rPr/>
        <w:t>7.5 Non-functional requirements</w:t>
      </w:r>
    </w:p>
    <w:p>
      <w:pPr>
        <w:pStyle w:val="BodyText"/>
        <w:bidi w:val="0"/>
        <w:jc w:val="left"/>
        <w:rPr/>
      </w:pPr>
      <w:r>
        <w:rPr/>
        <w:t>Carried forward from v1.0 unchanged — these held up.</w:t>
      </w:r>
    </w:p>
    <w:tbl>
      <w:tblPr>
        <w:tblW w:w="151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6"/>
        <w:gridCol w:w="13846"/>
      </w:tblGrid>
      <w:tr>
        <w:trPr>
          <w:tblHeader w:val="true"/>
        </w:trPr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1384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Performance</w:t>
            </w:r>
          </w:p>
        </w:tc>
        <w:tc>
          <w:tcPr>
            <w:tcW w:w="13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Page load under 2s on 4G; facility-scoped dashboard queries under 1.5s; session-log form completable in under 3 minutes on a mid-range Android device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Availability</w:t>
            </w:r>
          </w:p>
        </w:tc>
        <w:tc>
          <w:tcPr>
            <w:tcW w:w="13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99.5% during pilot; daily backups; RTO under 4 hours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</w:t>
            </w:r>
          </w:p>
        </w:tc>
        <w:tc>
          <w:tcPr>
            <w:tcW w:w="13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TLS 1.3 in transit, AES-256 at rest; audit logs on writes, escalation reads, and exports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Accessibility</w:t>
            </w:r>
          </w:p>
        </w:tc>
        <w:tc>
          <w:tcPr>
            <w:tcW w:w="13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Responsive from 375px; 4.5:1 minimum contrast; full keyboard navigability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Privacy</w:t>
            </w:r>
          </w:p>
        </w:tc>
        <w:tc>
          <w:tcPr>
            <w:tcW w:w="13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patient-identifiable data in the schema; anonymised or aggregate reporting by default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Scalability</w:t>
            </w:r>
          </w:p>
        </w:tc>
        <w:tc>
          <w:tcPr>
            <w:tcW w:w="13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Additional facilities and institutions onboard without structural change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Interfaces</w:t>
      </w:r>
    </w:p>
    <w:p>
      <w:pPr>
        <w:pStyle w:val="Heading3"/>
        <w:bidi w:val="0"/>
        <w:jc w:val="left"/>
        <w:rPr/>
      </w:pPr>
      <w:r>
        <w:rPr/>
        <w:t>8.1 Information architecture</w:t>
      </w:r>
    </w:p>
    <w:p>
      <w:pPr>
        <w:pStyle w:val="BodyText"/>
        <w:bidi w:val="0"/>
        <w:jc w:val="left"/>
        <w:rPr/>
      </w:pPr>
      <w:r>
        <w:rPr/>
        <w:t>Role-scoped zones, matching the authorization model.</w:t>
      </w:r>
    </w:p>
    <w:tbl>
      <w:tblPr>
        <w:tblW w:w="117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6"/>
        <w:gridCol w:w="10201"/>
      </w:tblGrid>
      <w:tr>
        <w:trPr>
          <w:tblHeader w:val="true"/>
        </w:trPr>
        <w:tc>
          <w:tcPr>
            <w:tcW w:w="154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Zone</w:t>
            </w:r>
          </w:p>
        </w:tc>
        <w:tc>
          <w:tcPr>
            <w:tcW w:w="1020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Key screens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</w:t>
            </w:r>
          </w:p>
        </w:tc>
        <w:tc>
          <w:tcPr>
            <w:tcW w:w="10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Landing, login, invite redemption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  <w:tc>
          <w:tcPr>
            <w:tcW w:w="10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Dashboard, My Placement, Sessions Received, Feedback &amp; Confidence, Raise a Concern, Profile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</w:t>
            </w:r>
          </w:p>
        </w:tc>
        <w:tc>
          <w:tcPr>
            <w:tcW w:w="10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Dashboard, My Students, Training, Induction Checklist, Session Log, Follow-ups, </w:t>
            </w:r>
            <w:r>
              <w:rPr>
                <w:rStyle w:val="Strong"/>
              </w:rPr>
              <w:t>Unsynced Logs</w:t>
            </w:r>
            <w:r>
              <w:rPr/>
              <w:t xml:space="preserve"> (new — OD-09)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Nurse Manager</w:t>
            </w:r>
          </w:p>
        </w:tc>
        <w:tc>
          <w:tcPr>
            <w:tcW w:w="10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Dashboard, Mentor Assignment, Placements (incl. pause/complete), Escalations, Facility Reports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Coordinator</w:t>
            </w:r>
          </w:p>
        </w:tc>
        <w:tc>
          <w:tcPr>
            <w:tcW w:w="10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Dashboard, Cohorts &amp; Students, Placements, Institution Reports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Program Admin</w:t>
            </w:r>
          </w:p>
        </w:tc>
        <w:tc>
          <w:tcPr>
            <w:tcW w:w="10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Dashboard, Institution/Facility/Ward setup, User Management, Content Library, Programme Reports</w:t>
            </w:r>
          </w:p>
        </w:tc>
      </w:tr>
    </w:tbl>
    <w:p>
      <w:pPr>
        <w:pStyle w:val="Heading3"/>
        <w:bidi w:val="0"/>
        <w:jc w:val="left"/>
        <w:rPr/>
      </w:pPr>
      <w:r>
        <w:rPr/>
        <w:t>8.2 UI principles</w:t>
      </w:r>
    </w:p>
    <w:p>
      <w:pPr>
        <w:pStyle w:val="BodyText"/>
        <w:bidi w:val="0"/>
        <w:jc w:val="left"/>
        <w:rPr/>
      </w:pPr>
      <w:r>
        <w:rPr/>
        <w:t xml:space="preserve">Mobile-first at 375px · progressive disclosure, since the session log and induction checklist are the time-critical forms · </w:t>
      </w:r>
      <w:r>
        <w:rPr>
          <w:rStyle w:val="Strong"/>
        </w:rPr>
        <w:t>explicit state design</w:t>
      </w:r>
      <w:r>
        <w:rPr/>
        <w:t>: every screen defines empty, loading, error, offline-queued, and success states · accessibility as specified in §7.5.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offline-queued</w:t>
      </w:r>
      <w:r>
        <w:rPr/>
        <w:t xml:space="preserve"> state is new in v2.0 and is not optional: Stage 3.5 §7.4 established that a mentor's queued work can fail validation on late arrival, and the mentor must be able to see and resolve that rather than discover silently that a session was never recorded.</w:t>
      </w:r>
    </w:p>
    <w:p>
      <w:pPr>
        <w:pStyle w:val="Heading3"/>
        <w:bidi w:val="0"/>
        <w:jc w:val="left"/>
        <w:rPr/>
      </w:pPr>
      <w:r>
        <w:rPr/>
        <w:t>8.3 API design — ⚠️ PROVISIONAL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Not authoritative.</w:t>
      </w:r>
      <w:r>
        <w:rPr/>
        <w:t xml:space="preserve"> Transport design is the </w:t>
      </w:r>
      <w:r>
        <w:rPr>
          <w:rStyle w:val="Strong"/>
        </w:rPr>
        <w:t>Stage 6</w:t>
      </w:r>
      <w:r>
        <w:rPr/>
        <w:t xml:space="preserve"> deliverable. SADD v1.0 §6.3's endpoint list is withdrawn — most visibly </w:t>
      </w:r>
      <w:r>
        <w:rPr>
          <w:rStyle w:val="SourceText"/>
        </w:rPr>
        <w:t>POST /api/placements</w:t>
      </w:r>
      <w:r>
        <w:rPr/>
        <w:t xml:space="preserve"> for "create/reassign", which conflated two operations with entirely different guard sets and actors.</w:t>
      </w:r>
    </w:p>
    <w:p>
      <w:pPr>
        <w:pStyle w:val="BodyText"/>
        <w:bidi w:val="0"/>
        <w:jc w:val="left"/>
        <w:rPr/>
      </w:pPr>
      <w:r>
        <w:rPr/>
        <w:t xml:space="preserve">Stage 6 will derive the transport surface from the </w:t>
      </w:r>
      <w:r>
        <w:rPr>
          <w:rStyle w:val="Strong"/>
        </w:rPr>
        <w:t>command surface</w:t>
      </w:r>
      <w:r>
        <w:rPr/>
        <w:t xml:space="preserve"> in Stage 3.5 Appendix A. Two requirements are already fixed: every mutating operation accepts a client-generated idempotency key, and every error response uses the shared domain error vocabulary in Stage 3 §12 rather than a generic HTTP status.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MVP Backlog &amp; Acceptance Criteria</w:t>
      </w:r>
    </w:p>
    <w:p>
      <w:pPr>
        <w:pStyle w:val="Heading3"/>
        <w:bidi w:val="0"/>
        <w:jc w:val="left"/>
        <w:rPr/>
      </w:pPr>
      <w:r>
        <w:rPr/>
        <w:t>9.1 Epics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9"/>
        <w:gridCol w:w="4512"/>
        <w:gridCol w:w="10619"/>
      </w:tblGrid>
      <w:tr>
        <w:trPr>
          <w:tblHeader w:val="true"/>
        </w:trPr>
        <w:tc>
          <w:tcPr>
            <w:tcW w:w="2149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Epic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Key story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Acceptance criterion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Identity &amp; scope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invites users; users log in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Permissions differ by role; </w:t>
            </w:r>
            <w:r>
              <w:rPr>
                <w:rStyle w:val="Strong"/>
              </w:rPr>
              <w:t>cross-scope API access with a valid token returns 404</w:t>
            </w:r>
            <w:r>
              <w:rPr/>
              <w:t>; deactivated users cannot access the system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Institution &amp; facility setup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Admin/Coordinator create institutions, facilities, wards, cohorts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Students and mentors correctly linked; ward capacity recorded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Placement lifecycle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Coordinator creates placements; NM assigns mentors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Placement moves only along the Stage 3 transition table; illegal transitions rejected with </w:t>
            </w:r>
            <w:r>
              <w:rPr>
                <w:rStyle w:val="SourceText"/>
              </w:rPr>
              <w:t>InvalidTransition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 training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 completes modules and quizzes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Completion, score, date, and failed attempts all recorded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Induction &amp; activation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 completes checklist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Placement </w:t>
            </w:r>
            <w:r>
              <w:rPr>
                <w:rStyle w:val="Strong"/>
              </w:rPr>
              <w:t>cannot</w:t>
            </w:r>
            <w:r>
              <w:rPr/>
              <w:t xml:space="preserve"> become </w:t>
            </w:r>
            <w:r>
              <w:rPr>
                <w:rStyle w:val="SourceText"/>
              </w:rPr>
              <w:t>Active</w:t>
            </w:r>
            <w:r>
              <w:rPr/>
              <w:t xml:space="preserve"> with required items outstanding; activation and completion commit atomically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 logging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 records an interaction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Saves in under 3 minutes; rejected outside </w:t>
            </w:r>
            <w:r>
              <w:rPr>
                <w:rStyle w:val="SourceText"/>
              </w:rPr>
              <w:t>Active</w:t>
            </w:r>
            <w:r>
              <w:rPr/>
              <w:t>; duplicate submissions idempotent; offline queue survives app restart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Feedback &amp; assessment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 submits feedback and confidence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Immutable once submitted; anonymous submissions carry no placement or student reference; mentor aggregates withheld below n = 3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Safeguarding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Student/Mentor raise a concern; reviewer resolves it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Five-state lifecycle enforced; </w:t>
            </w:r>
            <w:r>
              <w:rPr>
                <w:rStyle w:val="SourceText"/>
              </w:rPr>
              <w:t>description</w:t>
            </w:r>
            <w:r>
              <w:rPr/>
              <w:t xml:space="preserve"> unreadable outside reviewer/submitter/Admin; unauthorised access returns 404 and is audited; reviewer ≠ subject</w:t>
            </w:r>
          </w:p>
        </w:tc>
      </w:tr>
      <w:tr>
        <w:trPr/>
        <w:tc>
          <w:tcPr>
            <w:tcW w:w="21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Completion &amp; reporting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NM completes placement; Coordinator exports</w:t>
            </w:r>
          </w:p>
        </w:tc>
        <w:tc>
          <w:tcPr>
            <w:tcW w:w="106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Completion blocked without final assessment or with an open escalation; exports scope-filtered, field-restricted, and audited</w:t>
            </w:r>
          </w:p>
        </w:tc>
      </w:tr>
    </w:tbl>
    <w:p>
      <w:pPr>
        <w:pStyle w:val="Heading3"/>
        <w:bidi w:val="0"/>
        <w:jc w:val="left"/>
        <w:rPr/>
      </w:pPr>
      <w:r>
        <w:rPr/>
        <w:t>9.2 System-level acceptance criteria</w:t>
      </w:r>
    </w:p>
    <w:p>
      <w:pPr>
        <w:pStyle w:val="BodyText"/>
        <w:bidi w:val="0"/>
        <w:jc w:val="left"/>
        <w:rPr/>
      </w:pPr>
      <w:r>
        <w:rPr/>
        <w:t>Carried from v1.0, plus four invariant-enforcement criteria that v1.0 could not state because the invariants did not exist yet: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Each of the five human roles completes their core workflow without developer support.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mentor completes a module, passes a quiz, and sees completion status.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mentor completes an induction checklist and logs a session in under three minutes on a mid-range Android phone.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student submits feedback and a confidence rating from a phone.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Nurse Manager sees incomplete inductions, inactive mentors, and unresolved escalations.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Coordinator exports CSV/XLSX scoped to their institution.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system runs on common Android phones and modern browsers, and retains drafts across connectivity loss and app restart.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Row-level and field-level access control are verified by test, including direct API attempts from another facility's valid token.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session cannot be persisted for a non-</w:t>
      </w:r>
      <w:r>
        <w:rPr>
          <w:rStyle w:val="SourceText"/>
        </w:rPr>
        <w:t>Active</w:t>
      </w:r>
      <w:r>
        <w:rPr>
          <w:rStyle w:val="Strong"/>
        </w:rPr>
        <w:t xml:space="preserve"> placement, outside the placement window, or inside a pause interval — verified by test, not by UI inspection.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placement cannot be activated with an incomplete induction, nor completed with a missing final assessment or an open escalation — verified by test.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Every write produces an audit entry, and every override records a reason — verified by test.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 workflow requires patient-identifiable data.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Risks &amp; Open Decisions</w:t>
      </w:r>
    </w:p>
    <w:p>
      <w:pPr>
        <w:pStyle w:val="Heading3"/>
        <w:bidi w:val="0"/>
        <w:jc w:val="left"/>
        <w:rPr/>
      </w:pPr>
      <w:r>
        <w:rPr/>
        <w:t>10.1 Risks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09"/>
        <w:gridCol w:w="1657"/>
        <w:gridCol w:w="11014"/>
      </w:tblGrid>
      <w:tr>
        <w:trPr>
          <w:tblHeader w:val="true"/>
        </w:trPr>
        <w:tc>
          <w:tcPr>
            <w:tcW w:w="4609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Risk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Likelihood / impact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4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Weak ward connectivity disrupts session logging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 / medium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Local drafts, client outbox, idempotency keys, sub-3-minute form, visible unsynced queue</w:t>
            </w:r>
          </w:p>
        </w:tc>
      </w:tr>
      <w:tr>
        <w:trPr/>
        <w:tc>
          <w:tcPr>
            <w:tcW w:w="4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Late-arriving offline logs fail validation and are lost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 / high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Retained client-side and surfaced for human resolution; never silently discarded (OD-09)</w:t>
            </w:r>
          </w:p>
        </w:tc>
      </w:tr>
      <w:tr>
        <w:trPr/>
        <w:tc>
          <w:tcPr>
            <w:tcW w:w="4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 engagement drops after novelty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 / high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CPD-eligible completion summaries; manager visibility into activity</w:t>
            </w:r>
          </w:p>
        </w:tc>
      </w:tr>
      <w:tr>
        <w:trPr/>
        <w:tc>
          <w:tcPr>
            <w:tcW w:w="4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Escalation content exposure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Low / severe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Field-level restriction in serialisation, reviewer conflict rules, audited reads, no content in any event or notification payload</w:t>
            </w:r>
          </w:p>
        </w:tc>
      </w:tr>
      <w:tr>
        <w:trPr/>
        <w:tc>
          <w:tcPr>
            <w:tcW w:w="4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Patient identifiers typed into free text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 / severe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Point-of-entry instruction and reviewer redaction. </w:t>
            </w:r>
            <w:r>
              <w:rPr>
                <w:rStyle w:val="Strong"/>
              </w:rPr>
              <w:t>Residual, not solved</w:t>
            </w:r>
            <w:r>
              <w:rPr/>
              <w:t xml:space="preserve"> — must be named in the data-governance sign-off</w:t>
            </w:r>
          </w:p>
        </w:tc>
      </w:tr>
      <w:tr>
        <w:trPr/>
        <w:tc>
          <w:tcPr>
            <w:tcW w:w="4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Invariants enforced only at the service layer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 / high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Safeguarding and integrity rules pushed to </w:t>
            </w:r>
            <w:r>
              <w:rPr>
                <w:rStyle w:val="SourceText"/>
              </w:rPr>
              <w:t>DB</w:t>
            </w:r>
            <w:r>
              <w:rPr/>
              <w:t>/</w:t>
            </w:r>
            <w:r>
              <w:rPr>
                <w:rStyle w:val="SourceText"/>
              </w:rPr>
              <w:t>TXN</w:t>
            </w:r>
            <w:r>
              <w:rPr/>
              <w:t>; walking-skeleton spike before feature build to prove enforceability</w:t>
            </w:r>
          </w:p>
        </w:tc>
      </w:tr>
      <w:tr>
        <w:trPr/>
        <w:tc>
          <w:tcPr>
            <w:tcW w:w="4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 creep toward EMR features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 / high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MVP excludes patient data and clinical decision support (§1.3)</w:t>
            </w:r>
          </w:p>
        </w:tc>
      </w:tr>
      <w:tr>
        <w:trPr/>
        <w:tc>
          <w:tcPr>
            <w:tcW w:w="46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Schema built ahead of Stage 5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 / high</w:t>
            </w:r>
          </w:p>
        </w:tc>
        <w:tc>
          <w:tcPr>
            <w:tcW w:w="1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§6 and §8.3 marked provisional; no migrations until Stage 5 lands</w:t>
            </w:r>
          </w:p>
        </w:tc>
      </w:tr>
    </w:tbl>
    <w:p>
      <w:pPr>
        <w:pStyle w:val="Heading3"/>
        <w:bidi w:val="0"/>
        <w:jc w:val="left"/>
        <w:rPr/>
      </w:pPr>
      <w:r>
        <w:rPr/>
        <w:t>10.2 Open decisions</w:t>
      </w:r>
    </w:p>
    <w:p>
      <w:pPr>
        <w:pStyle w:val="BodyText"/>
        <w:bidi w:val="0"/>
        <w:jc w:val="left"/>
        <w:rPr/>
      </w:pPr>
      <w:r>
        <w:rPr/>
        <w:t xml:space="preserve">Eleven decisions are tracked in the consolidated register (Document Reconciliation Record §7). Three affect immediate work: </w:t>
      </w:r>
      <w:r>
        <w:rPr>
          <w:rStyle w:val="Strong"/>
        </w:rPr>
        <w:t>OD-03</w:t>
      </w:r>
      <w:r>
        <w:rPr/>
        <w:t xml:space="preserve"> and </w:t>
      </w:r>
      <w:r>
        <w:rPr>
          <w:rStyle w:val="Strong"/>
        </w:rPr>
        <w:t>OD-06</w:t>
      </w:r>
      <w:r>
        <w:rPr/>
        <w:t xml:space="preserve"> block pilot data collection because they gate consent wording; </w:t>
      </w:r>
      <w:r>
        <w:rPr>
          <w:rStyle w:val="Strong"/>
        </w:rPr>
        <w:t>OD-01</w:t>
      </w:r>
      <w:r>
        <w:rPr/>
        <w:t xml:space="preserve"> blocks Stage 5 because it determines whether placement dates are mutable.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Change Log — v1.0 → v2.0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10288"/>
        <w:gridCol w:w="6661"/>
      </w:tblGrid>
      <w:tr>
        <w:trPr>
          <w:tblHeader w:val="true"/>
        </w:trPr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Change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Reason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Placement modelled as an aggregate with assignment sub-entities, replacing the </w:t>
            </w:r>
            <w:r>
              <w:rPr>
                <w:rStyle w:val="SourceText"/>
              </w:rPr>
              <w:t>PlacementAssignment</w:t>
            </w:r>
            <w:r>
              <w:rPr/>
              <w:t xml:space="preserve"> junction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junction row overwrites relationships on change; the history of who mentored whom, and when, is the product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Sessions, induction checklists, and progress reparented from </w:t>
            </w:r>
            <w:r>
              <w:rPr>
                <w:rStyle w:val="SourceText"/>
              </w:rPr>
              <w:t>StudentProfile</w:t>
            </w:r>
            <w:r>
              <w:rPr/>
              <w:t>/</w:t>
            </w:r>
            <w:r>
              <w:rPr>
                <w:rStyle w:val="SourceText"/>
              </w:rPr>
              <w:t>MentorProfile</w:t>
            </w:r>
            <w:r>
              <w:rPr/>
              <w:t xml:space="preserve"> to Placement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student has many placements over time; person-owned records cannot be told apart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Placement dates and </w:t>
            </w:r>
            <w:r>
              <w:rPr>
                <w:rStyle w:val="SourceText"/>
              </w:rPr>
              <w:t>assigned_mentor</w:t>
            </w:r>
            <w:r>
              <w:rPr/>
              <w:t xml:space="preserve"> removed from </w:t>
            </w:r>
            <w:r>
              <w:rPr>
                <w:rStyle w:val="SourceText"/>
              </w:rPr>
              <w:t>StudentProfile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reason; a second placement would overwrite the first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Actor set reduced from seven to six; CPD Reviewer moved to Phase 2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That role touches no placement workflow, and the Concept Note already defers regulator integration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Placement lifecycle added (ten states, seventeen transitions)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v1.0 had no lifecycle; "active" would have become a boolean someone flips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Escalation given a formal five-state lifecycle, conflict-of-interest rule, and field-level access control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v1.0 described the safeguarding workflow narratively — the most consequential path had the least specification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DashboardMetric</w:t>
            </w:r>
            <w:r>
              <w:rPr/>
              <w:t xml:space="preserve"> entity replaced by computed projections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Stored metrics drift from the facts they summarise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Transactional outbox introduced; notifications and projections moved out of the write path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 email timeout must not roll back a valid mentor assignment, and a sent email cannot be un-sent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JWT scope claims replaced by per-request server-side scope resolution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token claim grants a reassigned user their old facility access until expiry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Cross-scope denial changed from 403 to 404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403 confirms the record exists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Field-level restrictions added: coordinator sees session metadata only; mentors see feedback aggregates at n ≥ 3; escalation content restricted to reviewer, submitter, and Admin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Enforces the Stage 1 data-ownership boundaries, which v1.0 stated but did not implement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Ward capacity enforced as an invariant under a row lock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max_students</w:t>
            </w:r>
            <w:r>
              <w:rPr/>
              <w:t xml:space="preserve"> existed in v1.0's data dictionary and was enforced by nothing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§5 Data Design and §6.3 API Design withdrawn and marked provisional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They preceded the domain model; replacing them now would repeat the error out of sequence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§3 use cases and §8 workflows superseded by Stage 3.5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shorter second copy of a specification becomes a competing source of truth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 behaviour specified end to end, including idempotency keys, late-replay validation, and a mentor-visible unsynced queue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v1.0 said "draft-saving and retry sync", which understates a path that guarantees replays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Acceptance criteria extended with four invariant-enforcement tests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Rules that no test exercises are documentation, not constraints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102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app-layout finding recorded (§7.2)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aggregate root has no home in the current scaffold, while three of its children do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>
          <w:rStyle w:val="Emphasis"/>
        </w:rPr>
        <w:t>End of System Analysis &amp; Design Document v2.0 — Sinaps Technology / JHUB Africa. Confidential.</w:t>
      </w:r>
    </w:p>
    <w:sectPr>
      <w:type w:val="nextPage"/>
      <w:pgSz w:w="11906" w:h="16838"/>
      <w:pgMar w:left="907" w:right="907" w:gutter="0" w:header="0" w:top="1134" w:footer="0" w:bottom="1134"/>
      <w:pgNumType w:fmt="decimal"/>
      <w:formProt w:val="false"/>
      <w:textDirection w:val="lrTb"/>
      <w:docGrid w:type="default" w:linePitch="600" w:charSpace="4259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nter">
    <w:altName w:val="Helvetica Neue"/>
    <w:charset w:val="01"/>
    <w:family w:val="auto"/>
    <w:pitch w:val="default"/>
  </w:font>
  <w:font w:name="Manrope">
    <w:altName w:val="Inter"/>
    <w:charset w:val="01"/>
    <w:family w:val="auto"/>
    <w:pitch w:val="default"/>
  </w:font>
  <w:font w:name="JetBrains Mono">
    <w:altName w:val="DejaVu Sans Mon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Inter;Helvetica Neue;Arial;sans-serif" w:hAnsi="Inter;Helvetica Neue;Arial;sans-serif" w:eastAsia="Inter;Helvetica Neue;Arial;sans-serif" w:cs="Inter;Helvetica Neue;Arial;sans-serif"/>
      <w:color w:val="0D1B33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48"/>
      <w:szCs w:val="44"/>
    </w:rPr>
  </w:style>
  <w:style w:type="paragraph" w:styleId="Heading2">
    <w:name w:val="Heading 2"/>
    <w:basedOn w:val="Heading"/>
    <w:next w:val="BodyText"/>
    <w:qFormat/>
    <w:pPr>
      <w:spacing w:lineRule="auto" w:line="300" w:before="200" w:after="120"/>
      <w:outlineLvl w:val="1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lineRule="auto" w:line="300" w:before="140" w:after="120"/>
      <w:outlineLvl w:val="2"/>
    </w:pPr>
    <w:rPr>
      <w:rFonts w:ascii="Manrope;Inter;Arial;sans-serif" w:hAnsi="Manrope;Inter;Arial;sans-serif" w:eastAsia="Manrope;Inter;Arial;sans-serif" w:cs="Manrope;Inter;Arial;sans-serif"/>
      <w:b/>
      <w:bCs/>
      <w:color w:val="1D8C8C"/>
      <w:sz w:val="24"/>
      <w:szCs w:val="24"/>
    </w:rPr>
  </w:style>
  <w:style w:type="paragraph" w:styleId="Heading4">
    <w:name w:val="Heading 4"/>
    <w:basedOn w:val="Heading"/>
    <w:next w:val="BodyText"/>
    <w:qFormat/>
    <w:pPr>
      <w:keepNext w:val="true"/>
      <w:spacing w:lineRule="auto" w:line="300" w:before="120" w:after="120"/>
      <w:outlineLvl w:val="3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21"/>
      <w:szCs w:val="21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JetBrains Mono;DejaVu Sans Mono;monospace" w:hAnsi="JetBrains Mono;DejaVu Sans Mono;monospace" w:eastAsia="JetBrains Mono;DejaVu Sans Mono;monospace" w:cs="JetBrains Mono;DejaVu Sans Mono;monospace"/>
    </w:rPr>
  </w:style>
  <w:style w:type="character" w:styleId="Emphasis">
    <w:name w:val="Emphasis"/>
    <w:qFormat/>
    <w:rPr>
      <w:i/>
      <w:iCs/>
      <w:color w:val="0D1B33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reformattedTextcode">
    <w:name w:val="Preformatted Text.code"/>
    <w:basedOn w:val="PreformattedText"/>
    <w:qFormat/>
    <w:pPr>
      <w:keepLines/>
      <w:pBdr/>
      <w:shd w:fill="0D1B33" w:val="clear"/>
    </w:pPr>
    <w:rPr>
      <w:color w:val="EAF2F4"/>
      <w:sz w:val="17"/>
      <w:szCs w:val="17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Heading">
    <w:name w:val="Table Heading"/>
    <w:basedOn w:val="TableContents"/>
    <w:qFormat/>
    <w:pPr>
      <w:suppressLineNumbers/>
      <w:shd w:fill="0D1B33" w:val="clear"/>
      <w:jc w:val="left"/>
    </w:pPr>
    <w:rPr>
      <w:b/>
      <w:bCs/>
      <w:color w:val="FFFFFF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