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left"/>
        <w:rPr/>
      </w:pPr>
      <w:r>
        <w:rPr/>
        <w:drawing>
          <wp:inline distT="0" distB="0" distL="0" distR="0">
            <wp:extent cx="10972800" cy="6877050"/>
            <wp:effectExtent l="0" t="0" r="0" b="0"/>
            <wp:docPr id="1" name="Image1" descr="Mentor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MentorMAMA"/>
                    <pic:cNvPicPr>
                      <a:picLocks noChangeAspect="1" noChangeArrowheads="1"/>
                    </pic:cNvPicPr>
                  </pic:nvPicPr>
                  <pic:blipFill>
                    <a:blip r:embed="rId2"/>
                    <a:stretch>
                      <a:fillRect/>
                    </a:stretch>
                  </pic:blipFill>
                  <pic:spPr bwMode="auto">
                    <a:xfrm>
                      <a:off x="0" y="0"/>
                      <a:ext cx="10972800" cy="6877050"/>
                    </a:xfrm>
                    <a:prstGeom prst="rect">
                      <a:avLst/>
                    </a:prstGeom>
                  </pic:spPr>
                </pic:pic>
              </a:graphicData>
            </a:graphic>
          </wp:inline>
        </w:drawing>
      </w:r>
      <w:r>
        <w:rPr/>
        <w:t xml:space="preserve"> </w:t>
      </w:r>
    </w:p>
    <w:p>
      <w:pPr>
        <w:pStyle w:val="BodyText"/>
        <w:bidi w:val="0"/>
        <w:jc w:val="left"/>
        <w:rPr/>
      </w:pPr>
      <w:r>
        <w:rPr/>
        <w:t>Product Governance · Decision Memo</w:t>
      </w:r>
    </w:p>
    <w:p>
      <w:pPr>
        <w:pStyle w:val="Heading1"/>
        <w:bidi w:val="0"/>
        <w:jc w:val="left"/>
        <w:rPr/>
      </w:pPr>
      <w:r>
        <w:rPr/>
        <w:t>Three Decisions We Need From You</w:t>
      </w:r>
    </w:p>
    <w:p>
      <w:pPr>
        <w:pStyle w:val="BodyText"/>
        <w:bidi w:val="0"/>
        <w:spacing w:before="0" w:after="0"/>
        <w:jc w:val="left"/>
        <w:rPr/>
      </w:pPr>
      <w:r>
        <w:rPr/>
        <w:t>And seven we have made on your behalf</w:t>
      </w:r>
    </w:p>
    <w:p>
      <w:pPr>
        <w:pStyle w:val="BodyText"/>
        <w:bidi w:val="0"/>
        <w:spacing w:before="0" w:after="0"/>
        <w:jc w:val="left"/>
        <w:rPr/>
      </w:pPr>
      <w:r>
        <w:rPr/>
        <w:t>Two decisions block the pilot because they determine what students and mentors must be told before a single response is collected. One blocks the database design. The rest are recorded so they can be overturned.</w:t>
      </w:r>
    </w:p>
    <w:tbl>
      <w:tblPr>
        <w:tblW w:w="11339" w:type="dxa"/>
        <w:jc w:val="left"/>
        <w:tblInd w:w="0" w:type="dxa"/>
        <w:tblLayout w:type="fixed"/>
        <w:tblCellMar>
          <w:top w:w="28" w:type="dxa"/>
          <w:left w:w="28" w:type="dxa"/>
          <w:bottom w:w="28" w:type="dxa"/>
          <w:right w:w="28" w:type="dxa"/>
        </w:tblCellMar>
      </w:tblPr>
      <w:tblGrid>
        <w:gridCol w:w="2233"/>
        <w:gridCol w:w="9106"/>
      </w:tblGrid>
      <w:tr>
        <w:trPr/>
        <w:tc>
          <w:tcPr>
            <w:tcW w:w="2233" w:type="dxa"/>
            <w:tcBorders/>
            <w:vAlign w:val="center"/>
          </w:tcPr>
          <w:p>
            <w:pPr>
              <w:pStyle w:val="TableContents"/>
              <w:bidi w:val="0"/>
              <w:spacing w:before="0" w:after="283"/>
              <w:jc w:val="left"/>
              <w:rPr/>
            </w:pPr>
            <w:r>
              <w:rPr/>
              <w:t>To</w:t>
            </w:r>
          </w:p>
        </w:tc>
        <w:tc>
          <w:tcPr>
            <w:tcW w:w="9106" w:type="dxa"/>
            <w:tcBorders/>
            <w:vAlign w:val="center"/>
          </w:tcPr>
          <w:p>
            <w:pPr>
              <w:pStyle w:val="TableContents"/>
              <w:bidi w:val="0"/>
              <w:spacing w:before="0" w:after="283"/>
              <w:jc w:val="left"/>
              <w:rPr/>
            </w:pPr>
            <w:r>
              <w:rPr/>
              <w:t>Dr. Carolyne Kerubo Nyariki, JKUAT School of Nursing · AfyaVentures programme team · JHUB Africa</w:t>
            </w:r>
          </w:p>
        </w:tc>
      </w:tr>
      <w:tr>
        <w:trPr/>
        <w:tc>
          <w:tcPr>
            <w:tcW w:w="2233" w:type="dxa"/>
            <w:tcBorders/>
            <w:vAlign w:val="center"/>
          </w:tcPr>
          <w:p>
            <w:pPr>
              <w:pStyle w:val="TableContents"/>
              <w:bidi w:val="0"/>
              <w:spacing w:before="0" w:after="283"/>
              <w:jc w:val="left"/>
              <w:rPr/>
            </w:pPr>
            <w:r>
              <w:rPr/>
              <w:t>From</w:t>
            </w:r>
          </w:p>
        </w:tc>
        <w:tc>
          <w:tcPr>
            <w:tcW w:w="9106" w:type="dxa"/>
            <w:tcBorders/>
            <w:vAlign w:val="center"/>
          </w:tcPr>
          <w:p>
            <w:pPr>
              <w:pStyle w:val="TableContents"/>
              <w:bidi w:val="0"/>
              <w:spacing w:before="0" w:after="283"/>
              <w:jc w:val="left"/>
              <w:rPr/>
            </w:pPr>
            <w:r>
              <w:rPr/>
              <w:t>Sinaps Technology — Bouric Okwaro Enos (Ric), Co-Founder &amp; Team Lead</w:t>
            </w:r>
          </w:p>
        </w:tc>
      </w:tr>
      <w:tr>
        <w:trPr/>
        <w:tc>
          <w:tcPr>
            <w:tcW w:w="2233" w:type="dxa"/>
            <w:tcBorders/>
            <w:vAlign w:val="center"/>
          </w:tcPr>
          <w:p>
            <w:pPr>
              <w:pStyle w:val="TableContents"/>
              <w:bidi w:val="0"/>
              <w:spacing w:before="0" w:after="283"/>
              <w:jc w:val="left"/>
              <w:rPr/>
            </w:pPr>
            <w:r>
              <w:rPr/>
              <w:t>Document type</w:t>
            </w:r>
          </w:p>
        </w:tc>
        <w:tc>
          <w:tcPr>
            <w:tcW w:w="9106" w:type="dxa"/>
            <w:tcBorders/>
            <w:vAlign w:val="center"/>
          </w:tcPr>
          <w:p>
            <w:pPr>
              <w:pStyle w:val="TableContents"/>
              <w:bidi w:val="0"/>
              <w:spacing w:before="0" w:after="283"/>
              <w:jc w:val="left"/>
              <w:rPr/>
            </w:pPr>
            <w:r>
              <w:rPr/>
              <w:t>Decision memo — product governance</w:t>
            </w:r>
          </w:p>
        </w:tc>
      </w:tr>
      <w:tr>
        <w:trPr/>
        <w:tc>
          <w:tcPr>
            <w:tcW w:w="2233" w:type="dxa"/>
            <w:tcBorders/>
            <w:vAlign w:val="center"/>
          </w:tcPr>
          <w:p>
            <w:pPr>
              <w:pStyle w:val="TableContents"/>
              <w:bidi w:val="0"/>
              <w:spacing w:before="0" w:after="283"/>
              <w:jc w:val="left"/>
              <w:rPr/>
            </w:pPr>
            <w:r>
              <w:rPr/>
              <w:t>Date</w:t>
            </w:r>
          </w:p>
        </w:tc>
        <w:tc>
          <w:tcPr>
            <w:tcW w:w="9106" w:type="dxa"/>
            <w:tcBorders/>
            <w:vAlign w:val="center"/>
          </w:tcPr>
          <w:p>
            <w:pPr>
              <w:pStyle w:val="TableContents"/>
              <w:bidi w:val="0"/>
              <w:spacing w:before="0" w:after="283"/>
              <w:jc w:val="left"/>
              <w:rPr/>
            </w:pPr>
            <w:r>
              <w:rPr/>
              <w:t>30 July 2026</w:t>
            </w:r>
          </w:p>
        </w:tc>
      </w:tr>
      <w:tr>
        <w:trPr/>
        <w:tc>
          <w:tcPr>
            <w:tcW w:w="2233" w:type="dxa"/>
            <w:tcBorders/>
            <w:vAlign w:val="center"/>
          </w:tcPr>
          <w:p>
            <w:pPr>
              <w:pStyle w:val="TableContents"/>
              <w:bidi w:val="0"/>
              <w:spacing w:before="0" w:after="283"/>
              <w:jc w:val="left"/>
              <w:rPr/>
            </w:pPr>
            <w:r>
              <w:rPr/>
              <w:t>Response requested by</w:t>
            </w:r>
          </w:p>
        </w:tc>
        <w:tc>
          <w:tcPr>
            <w:tcW w:w="9106" w:type="dxa"/>
            <w:tcBorders/>
            <w:vAlign w:val="center"/>
          </w:tcPr>
          <w:p>
            <w:pPr>
              <w:pStyle w:val="TableContents"/>
              <w:bidi w:val="0"/>
              <w:spacing w:before="0" w:after="283"/>
              <w:jc w:val="left"/>
              <w:rPr/>
            </w:pPr>
            <w:r>
              <w:rPr/>
              <w:t>13 August 2026 (10 working days)</w:t>
            </w:r>
          </w:p>
        </w:tc>
      </w:tr>
      <w:tr>
        <w:trPr/>
        <w:tc>
          <w:tcPr>
            <w:tcW w:w="2233" w:type="dxa"/>
            <w:tcBorders/>
            <w:vAlign w:val="center"/>
          </w:tcPr>
          <w:p>
            <w:pPr>
              <w:pStyle w:val="TableContents"/>
              <w:bidi w:val="0"/>
              <w:spacing w:before="0" w:after="283"/>
              <w:jc w:val="left"/>
              <w:rPr/>
            </w:pPr>
            <w:r>
              <w:rPr/>
              <w:t>Version</w:t>
            </w:r>
          </w:p>
        </w:tc>
        <w:tc>
          <w:tcPr>
            <w:tcW w:w="9106" w:type="dxa"/>
            <w:tcBorders/>
            <w:vAlign w:val="center"/>
          </w:tcPr>
          <w:p>
            <w:pPr>
              <w:pStyle w:val="TableContents"/>
              <w:bidi w:val="0"/>
              <w:spacing w:before="0" w:after="283"/>
              <w:jc w:val="left"/>
              <w:rPr/>
            </w:pPr>
            <w:r>
              <w:rPr/>
              <w:t>1.0</w:t>
            </w:r>
          </w:p>
        </w:tc>
      </w:tr>
    </w:tbl>
    <w:p>
      <w:pPr>
        <w:pStyle w:val="BodyText"/>
        <w:bidi w:val="0"/>
        <w:jc w:val="left"/>
        <w:rPr/>
      </w:pPr>
      <w:r>
        <w:rPr/>
        <w:t>Sinaps Technology  |  Driving Innovation Out of Isolation  ·  Confidential — Sinaps Technology / JHUB Africa</w:t>
      </w:r>
    </w:p>
    <w:p>
      <w:pPr>
        <w:pStyle w:val="Heading2"/>
        <w:bidi w:val="0"/>
        <w:jc w:val="left"/>
        <w:rPr/>
      </w:pPr>
      <w:r>
        <w:rPr/>
        <w:t>1. Why You Are Receiving This</w:t>
      </w:r>
    </w:p>
    <w:p>
      <w:pPr>
        <w:pStyle w:val="BodyText"/>
        <w:bidi w:val="0"/>
        <w:jc w:val="left"/>
        <w:rPr/>
      </w:pPr>
      <w:r>
        <w:rPr/>
        <w:t xml:space="preserve">We have completed the design work that precedes coding: the business discovery, the domain model, the business rules, and the step-by-step workflows. That work surfaced </w:t>
      </w:r>
      <w:r>
        <w:rPr>
          <w:rStyle w:val="Strong"/>
        </w:rPr>
        <w:t>eleven open decisions</w:t>
      </w:r>
      <w:r>
        <w:rPr/>
        <w:t>. Eight of them are engineering judgement calls and we have made them, with our reasoning recorded so you can overturn any of them.</w:t>
      </w:r>
    </w:p>
    <w:p>
      <w:pPr>
        <w:pStyle w:val="BodyText"/>
        <w:bidi w:val="0"/>
        <w:jc w:val="left"/>
        <w:rPr/>
      </w:pPr>
      <w:r>
        <w:rPr>
          <w:rStyle w:val="Strong"/>
        </w:rPr>
        <w:t>Three are not ours to make.</w:t>
      </w:r>
      <w:r>
        <w:rPr/>
        <w:t xml:space="preserve"> Two of those three block the pilot — not the code, the </w:t>
      </w:r>
      <w:r>
        <w:rPr>
          <w:rStyle w:val="Emphasis"/>
        </w:rPr>
        <w:t>pilot</w:t>
      </w:r>
      <w:r>
        <w:rPr/>
        <w:t xml:space="preserve"> — because they determine what we must tell students and mentors before they submit a single response. The third determines a database structure we would rather not rebuild after data exists.</w:t>
      </w:r>
    </w:p>
    <w:p>
      <w:pPr>
        <w:pStyle w:val="BodyText"/>
        <w:bidi w:val="0"/>
        <w:jc w:val="left"/>
        <w:rPr/>
      </w:pPr>
      <w:r>
        <w:rPr/>
        <w:t>This memo asks for those three, lists ten places where our design changed something the Concept Note said, and tells you what we will do if we do not hear back.</w:t>
      </w:r>
    </w:p>
    <w:p>
      <w:pPr>
        <w:pStyle w:val="BodyText"/>
        <w:bidi w:val="0"/>
        <w:jc w:val="left"/>
        <w:rPr/>
      </w:pPr>
      <w:r>
        <w:rPr>
          <w:rStyle w:val="Strong"/>
        </w:rPr>
        <w:t>If we have no response by 13 August</w:t>
      </w:r>
      <w:r>
        <w:rPr/>
        <w:t>, we will proceed on the recommendation stated for each item and record it as a Sinaps decision rather than a stakeholder decision. That is a worse outcome for two of these three, because they carry research-ethics and consent implications we are not the right people to settle.</w:t>
      </w:r>
    </w:p>
    <w:p>
      <w:pPr>
        <w:pStyle w:val="HorizontalLine"/>
        <w:bidi w:val="0"/>
        <w:jc w:val="left"/>
        <w:rPr/>
      </w:pPr>
      <w:r>
        <w:rPr/>
      </w:r>
    </w:p>
    <w:p>
      <w:pPr>
        <w:pStyle w:val="Heading2"/>
        <w:bidi w:val="0"/>
        <w:jc w:val="left"/>
        <w:rPr/>
      </w:pPr>
      <w:r>
        <w:rPr/>
        <w:t xml:space="preserve">2. Decision 1 — Who can see student feedback? </w:t>
      </w:r>
      <w:r>
        <w:rPr>
          <w:rStyle w:val="Emphasis"/>
        </w:rPr>
        <w:t>(Blocks the pilot)</w:t>
      </w:r>
    </w:p>
    <w:p>
      <w:pPr>
        <w:pStyle w:val="BodyText"/>
        <w:bidi w:val="0"/>
        <w:jc w:val="left"/>
        <w:rPr/>
      </w:pPr>
      <w:r>
        <w:rPr>
          <w:rStyle w:val="Strong"/>
        </w:rPr>
        <w:t>Reference:</w:t>
      </w:r>
      <w:r>
        <w:rPr/>
        <w:t xml:space="preserve"> OD-03. Raised as an open decision in the Concept Note itself (§19).</w:t>
      </w:r>
    </w:p>
    <w:p>
      <w:pPr>
        <w:pStyle w:val="Heading3"/>
        <w:bidi w:val="0"/>
        <w:jc w:val="left"/>
        <w:rPr/>
      </w:pPr>
      <w:r>
        <w:rPr/>
        <w:t>The question</w:t>
      </w:r>
    </w:p>
    <w:p>
      <w:pPr>
        <w:pStyle w:val="BodyText"/>
        <w:bidi w:val="0"/>
        <w:jc w:val="left"/>
        <w:rPr/>
      </w:pPr>
      <w:r>
        <w:rPr/>
        <w:t>A student submits feedback saying their mentor was unavailable, or that the learning environment did not feel respectful. Who can read it?</w:t>
      </w:r>
    </w:p>
    <w:p>
      <w:pPr>
        <w:pStyle w:val="BodyText"/>
        <w:bidi w:val="0"/>
        <w:jc w:val="left"/>
        <w:rPr/>
      </w:pPr>
      <w:r>
        <w:rPr/>
        <w:t>Four candidate answers, with what each costs:</w:t>
      </w:r>
    </w:p>
    <w:tbl>
      <w:tblPr>
        <w:tblW w:w="11339" w:type="dxa"/>
        <w:jc w:val="left"/>
        <w:tblInd w:w="0" w:type="dxa"/>
        <w:tblLayout w:type="fixed"/>
        <w:tblCellMar>
          <w:top w:w="28" w:type="dxa"/>
          <w:left w:w="28" w:type="dxa"/>
          <w:bottom w:w="28" w:type="dxa"/>
          <w:right w:w="28" w:type="dxa"/>
        </w:tblCellMar>
      </w:tblPr>
      <w:tblGrid>
        <w:gridCol w:w="5733"/>
        <w:gridCol w:w="5606"/>
      </w:tblGrid>
      <w:tr>
        <w:trPr>
          <w:tblHeader w:val="true"/>
        </w:trPr>
        <w:tc>
          <w:tcPr>
            <w:tcW w:w="5733" w:type="dxa"/>
            <w:tcBorders/>
            <w:vAlign w:val="center"/>
          </w:tcPr>
          <w:p>
            <w:pPr>
              <w:pStyle w:val="TableHeading"/>
              <w:suppressLineNumbers/>
              <w:shd w:fill="0D1B33" w:val="clear"/>
              <w:bidi w:val="0"/>
              <w:spacing w:before="0" w:after="283"/>
              <w:jc w:val="left"/>
              <w:rPr/>
            </w:pPr>
            <w:r>
              <w:rPr/>
              <w:t>Option</w:t>
            </w:r>
          </w:p>
        </w:tc>
        <w:tc>
          <w:tcPr>
            <w:tcW w:w="5606" w:type="dxa"/>
            <w:tcBorders/>
            <w:vAlign w:val="center"/>
          </w:tcPr>
          <w:p>
            <w:pPr>
              <w:pStyle w:val="TableHeading"/>
              <w:suppressLineNumbers/>
              <w:shd w:fill="0D1B33" w:val="clear"/>
              <w:bidi w:val="0"/>
              <w:spacing w:before="0" w:after="283"/>
              <w:jc w:val="left"/>
              <w:rPr/>
            </w:pPr>
            <w:r>
              <w:rPr/>
              <w:t>Consequence</w:t>
            </w:r>
          </w:p>
        </w:tc>
      </w:tr>
      <w:tr>
        <w:trPr/>
        <w:tc>
          <w:tcPr>
            <w:tcW w:w="5733" w:type="dxa"/>
            <w:tcBorders/>
            <w:vAlign w:val="center"/>
          </w:tcPr>
          <w:p>
            <w:pPr>
              <w:pStyle w:val="TableContents"/>
              <w:bidi w:val="0"/>
              <w:spacing w:before="0" w:after="283"/>
              <w:jc w:val="left"/>
              <w:rPr/>
            </w:pPr>
            <w:r>
              <w:rPr/>
              <w:t>Mentor sees individual responses</w:t>
            </w:r>
          </w:p>
        </w:tc>
        <w:tc>
          <w:tcPr>
            <w:tcW w:w="5606" w:type="dxa"/>
            <w:tcBorders/>
            <w:vAlign w:val="center"/>
          </w:tcPr>
          <w:p>
            <w:pPr>
              <w:pStyle w:val="TableContents"/>
              <w:bidi w:val="0"/>
              <w:spacing w:before="0" w:after="283"/>
              <w:jc w:val="left"/>
              <w:rPr/>
            </w:pPr>
            <w:r>
              <w:rPr/>
              <w:t>Students will not report honestly about the person supervising and assessing them. The feedback becomes worthless as a quality signal</w:t>
            </w:r>
          </w:p>
        </w:tc>
      </w:tr>
      <w:tr>
        <w:trPr/>
        <w:tc>
          <w:tcPr>
            <w:tcW w:w="5733" w:type="dxa"/>
            <w:tcBorders/>
            <w:vAlign w:val="center"/>
          </w:tcPr>
          <w:p>
            <w:pPr>
              <w:pStyle w:val="TableContents"/>
              <w:bidi w:val="0"/>
              <w:spacing w:before="0" w:after="283"/>
              <w:jc w:val="left"/>
              <w:rPr/>
            </w:pPr>
            <w:r>
              <w:rPr/>
              <w:t>Nurse Manager and Coordinator see individual responses; mentor sees nothing</w:t>
            </w:r>
          </w:p>
        </w:tc>
        <w:tc>
          <w:tcPr>
            <w:tcW w:w="5606" w:type="dxa"/>
            <w:tcBorders/>
            <w:vAlign w:val="center"/>
          </w:tcPr>
          <w:p>
            <w:pPr>
              <w:pStyle w:val="TableContents"/>
              <w:bidi w:val="0"/>
              <w:spacing w:before="0" w:after="283"/>
              <w:jc w:val="left"/>
              <w:rPr/>
            </w:pPr>
            <w:r>
              <w:rPr/>
              <w:t>Honest feedback, but the mentor never learns anything from it — which undercuts the capacity-building purpose of the product</w:t>
            </w:r>
          </w:p>
        </w:tc>
      </w:tr>
      <w:tr>
        <w:trPr/>
        <w:tc>
          <w:tcPr>
            <w:tcW w:w="5733" w:type="dxa"/>
            <w:tcBorders/>
            <w:vAlign w:val="center"/>
          </w:tcPr>
          <w:p>
            <w:pPr>
              <w:pStyle w:val="TableContents"/>
              <w:bidi w:val="0"/>
              <w:spacing w:before="0" w:after="283"/>
              <w:jc w:val="left"/>
              <w:rPr/>
            </w:pPr>
            <w:r>
              <w:rPr>
                <w:rStyle w:val="Strong"/>
              </w:rPr>
              <w:t>Nurse Manager and Coordinator see individual; mentor sees aggregates only, and only once at least 3 responses exist (recommended)</w:t>
            </w:r>
          </w:p>
        </w:tc>
        <w:tc>
          <w:tcPr>
            <w:tcW w:w="5606" w:type="dxa"/>
            <w:tcBorders/>
            <w:vAlign w:val="center"/>
          </w:tcPr>
          <w:p>
            <w:pPr>
              <w:pStyle w:val="TableContents"/>
              <w:bidi w:val="0"/>
              <w:spacing w:before="0" w:after="283"/>
              <w:jc w:val="left"/>
              <w:rPr/>
            </w:pPr>
            <w:r>
              <w:rPr/>
              <w:t>Honest feedback, mentor still gets a signal they can act on, and no single student is identifiable</w:t>
            </w:r>
          </w:p>
        </w:tc>
      </w:tr>
      <w:tr>
        <w:trPr/>
        <w:tc>
          <w:tcPr>
            <w:tcW w:w="5733" w:type="dxa"/>
            <w:tcBorders/>
            <w:vAlign w:val="center"/>
          </w:tcPr>
          <w:p>
            <w:pPr>
              <w:pStyle w:val="TableContents"/>
              <w:bidi w:val="0"/>
              <w:spacing w:before="0" w:after="283"/>
              <w:jc w:val="left"/>
              <w:rPr/>
            </w:pPr>
            <w:r>
              <w:rPr/>
              <w:t>Nobody sees anything but aggregates</w:t>
            </w:r>
          </w:p>
        </w:tc>
        <w:tc>
          <w:tcPr>
            <w:tcW w:w="5606" w:type="dxa"/>
            <w:tcBorders/>
            <w:vAlign w:val="center"/>
          </w:tcPr>
          <w:p>
            <w:pPr>
              <w:pStyle w:val="TableContents"/>
              <w:bidi w:val="0"/>
              <w:spacing w:before="0" w:after="283"/>
              <w:jc w:val="left"/>
              <w:rPr/>
            </w:pPr>
            <w:r>
              <w:rPr/>
              <w:t>Safeguarding concerns hidden inside routine feedback would never reach a human</w:t>
            </w:r>
          </w:p>
        </w:tc>
      </w:tr>
    </w:tbl>
    <w:p>
      <w:pPr>
        <w:pStyle w:val="Heading3"/>
        <w:bidi w:val="0"/>
        <w:jc w:val="left"/>
        <w:rPr/>
      </w:pPr>
      <w:r>
        <w:rPr/>
        <w:t>Why the threshold of 3 matters</w:t>
      </w:r>
    </w:p>
    <w:p>
      <w:pPr>
        <w:pStyle w:val="BodyText"/>
        <w:bidi w:val="0"/>
        <w:jc w:val="left"/>
        <w:rPr/>
      </w:pPr>
      <w:r>
        <w:rPr/>
        <w:t xml:space="preserve">"The mentor sees aggregate data only" sounds safe and is not. If a mentor has one student and that student submits one response, the "aggregate" </w:t>
      </w:r>
      <w:r>
        <w:rPr>
          <w:rStyle w:val="Strong"/>
        </w:rPr>
        <w:t>is</w:t>
      </w:r>
      <w:r>
        <w:rPr/>
        <w:t xml:space="preserve"> that student's response, attributed by process of elimination. Any system that shows a mentor an average of one thing has shown them an individual's answer.</w:t>
      </w:r>
    </w:p>
    <w:p>
      <w:pPr>
        <w:pStyle w:val="BodyText"/>
        <w:bidi w:val="0"/>
        <w:jc w:val="left"/>
        <w:rPr/>
      </w:pPr>
      <w:r>
        <w:rPr/>
        <w:t>We recommend suppressing mentor-visible aggregates until at least three responses exist, and displaying "not enough responses yet" rather than an empty chart — because an empty chart still tells a mentor that a response was submitted.</w:t>
      </w:r>
    </w:p>
    <w:p>
      <w:pPr>
        <w:pStyle w:val="Heading3"/>
        <w:bidi w:val="0"/>
        <w:jc w:val="left"/>
        <w:rPr/>
      </w:pPr>
      <w:r>
        <w:rPr/>
        <w:t>What we need from you</w:t>
      </w:r>
    </w:p>
    <w:p>
      <w:pPr>
        <w:pStyle w:val="BodyText"/>
        <w:numPr>
          <w:ilvl w:val="0"/>
          <w:numId w:val="1"/>
        </w:numPr>
        <w:tabs>
          <w:tab w:val="clear" w:pos="1134"/>
          <w:tab w:val="left" w:pos="709" w:leader="none"/>
        </w:tabs>
        <w:bidi w:val="0"/>
        <w:spacing w:before="0" w:after="0"/>
        <w:ind w:hanging="283" w:left="709"/>
        <w:jc w:val="left"/>
        <w:rPr/>
      </w:pPr>
      <w:r>
        <w:rPr/>
        <w:t xml:space="preserve">Confirm the recommended option, or choose another. </w:t>
      </w:r>
    </w:p>
    <w:p>
      <w:pPr>
        <w:pStyle w:val="BodyText"/>
        <w:numPr>
          <w:ilvl w:val="0"/>
          <w:numId w:val="1"/>
        </w:numPr>
        <w:tabs>
          <w:tab w:val="clear" w:pos="1134"/>
          <w:tab w:val="left" w:pos="709" w:leader="none"/>
        </w:tabs>
        <w:bidi w:val="0"/>
        <w:spacing w:before="0" w:after="0"/>
        <w:ind w:hanging="283" w:left="709"/>
        <w:jc w:val="left"/>
        <w:rPr/>
      </w:pPr>
      <w:r>
        <w:rPr/>
        <w:t xml:space="preserve">Confirm the threshold of 3 is acceptable for the pilot's cohort sizes. </w:t>
      </w:r>
    </w:p>
    <w:p>
      <w:pPr>
        <w:pStyle w:val="BodyText"/>
        <w:numPr>
          <w:ilvl w:val="0"/>
          <w:numId w:val="1"/>
        </w:numPr>
        <w:tabs>
          <w:tab w:val="clear" w:pos="1134"/>
          <w:tab w:val="left" w:pos="709" w:leader="none"/>
        </w:tabs>
        <w:bidi w:val="0"/>
        <w:ind w:hanging="283" w:left="709"/>
        <w:jc w:val="left"/>
        <w:rPr/>
      </w:pPr>
      <w:r>
        <w:rPr/>
        <w:t xml:space="preserve">Confirm who drafts the consent wording that tells students this, and by when. </w:t>
      </w:r>
    </w:p>
    <w:p>
      <w:pPr>
        <w:pStyle w:val="BodyText"/>
        <w:bidi w:val="0"/>
        <w:jc w:val="left"/>
        <w:rPr/>
      </w:pPr>
      <w:r>
        <w:rPr>
          <w:rStyle w:val="Strong"/>
        </w:rPr>
        <w:t>This blocks the pilot</w:t>
      </w:r>
      <w:r>
        <w:rPr/>
        <w:t xml:space="preserve"> because the consent language depends on the answer, and consent must be in place before the first response is collected — not before the first line of code.</w:t>
      </w:r>
    </w:p>
    <w:p>
      <w:pPr>
        <w:pStyle w:val="HorizontalLine"/>
        <w:bidi w:val="0"/>
        <w:jc w:val="left"/>
        <w:rPr/>
      </w:pPr>
      <w:r>
        <w:rPr/>
      </w:r>
    </w:p>
    <w:p>
      <w:pPr>
        <w:pStyle w:val="Heading2"/>
        <w:bidi w:val="0"/>
        <w:jc w:val="left"/>
        <w:rPr/>
      </w:pPr>
      <w:r>
        <w:rPr/>
        <w:t xml:space="preserve">3. Decision 2 — What does anonymous feedback attach to? </w:t>
      </w:r>
      <w:r>
        <w:rPr>
          <w:rStyle w:val="Emphasis"/>
        </w:rPr>
        <w:t>(Blocks the pilot)</w:t>
      </w:r>
    </w:p>
    <w:p>
      <w:pPr>
        <w:pStyle w:val="BodyText"/>
        <w:bidi w:val="0"/>
        <w:jc w:val="left"/>
        <w:rPr/>
      </w:pPr>
      <w:r>
        <w:rPr>
          <w:rStyle w:val="Strong"/>
        </w:rPr>
        <w:t>Reference:</w:t>
      </w:r>
      <w:r>
        <w:rPr/>
        <w:t xml:space="preserve"> OD-06.</w:t>
      </w:r>
    </w:p>
    <w:p>
      <w:pPr>
        <w:pStyle w:val="Heading3"/>
        <w:bidi w:val="0"/>
        <w:jc w:val="left"/>
        <w:rPr/>
      </w:pPr>
      <w:r>
        <w:rPr/>
        <w:t>The question</w:t>
      </w:r>
    </w:p>
    <w:p>
      <w:pPr>
        <w:pStyle w:val="BodyText"/>
        <w:bidi w:val="0"/>
        <w:jc w:val="left"/>
        <w:rPr/>
      </w:pPr>
      <w:r>
        <w:rPr/>
        <w:t>If a student submits feedback anonymously, what record does it belong to?</w:t>
      </w:r>
    </w:p>
    <w:p>
      <w:pPr>
        <w:pStyle w:val="BodyText"/>
        <w:bidi w:val="0"/>
        <w:jc w:val="left"/>
        <w:rPr/>
      </w:pPr>
      <w:r>
        <w:rPr/>
        <w:t xml:space="preserve">Here is the problem we found. The obvious implementation attaches the response to the student's </w:t>
      </w:r>
      <w:r>
        <w:rPr>
          <w:rStyle w:val="Emphasis"/>
        </w:rPr>
        <w:t>placement</w:t>
      </w:r>
      <w:r>
        <w:rPr/>
        <w:t xml:space="preserve"> and omits their name. But a placement concerns </w:t>
      </w:r>
      <w:r>
        <w:rPr>
          <w:rStyle w:val="Strong"/>
        </w:rPr>
        <w:t>exactly one student</w:t>
      </w:r>
      <w:r>
        <w:rPr/>
        <w:t xml:space="preserve"> — so a response attached to a placement identifies the student completely, name or no name. "Anonymous" feedback linked to a placement is not anonymous.</w:t>
      </w:r>
    </w:p>
    <w:p>
      <w:pPr>
        <w:pStyle w:val="BodyText"/>
        <w:bidi w:val="0"/>
        <w:jc w:val="left"/>
        <w:rPr/>
      </w:pPr>
      <w:r>
        <w:rPr/>
        <w:t xml:space="preserve">Our design therefore attaches anonymous responses to </w:t>
      </w:r>
      <w:r>
        <w:rPr>
          <w:rStyle w:val="Strong"/>
        </w:rPr>
        <w:t>Cohort + Facility + Ward</w:t>
      </w:r>
      <w:r>
        <w:rPr/>
        <w:t xml:space="preserve"> and stores no placement or student reference at all. That is genuinely anonymous. It also means:</w:t>
      </w:r>
    </w:p>
    <w:p>
      <w:pPr>
        <w:pStyle w:val="BodyText"/>
        <w:numPr>
          <w:ilvl w:val="0"/>
          <w:numId w:val="2"/>
        </w:numPr>
        <w:tabs>
          <w:tab w:val="clear" w:pos="1134"/>
          <w:tab w:val="left" w:pos="709" w:leader="none"/>
        </w:tabs>
        <w:bidi w:val="0"/>
        <w:spacing w:before="0" w:after="0"/>
        <w:ind w:hanging="283" w:left="709"/>
        <w:jc w:val="left"/>
        <w:rPr/>
      </w:pPr>
      <w:r>
        <w:rPr/>
        <w:t xml:space="preserve">Anonymous responses </w:t>
      </w:r>
      <w:r>
        <w:rPr>
          <w:rStyle w:val="Strong"/>
        </w:rPr>
        <w:t>cannot</w:t>
      </w:r>
      <w:r>
        <w:rPr/>
        <w:t xml:space="preserve"> be traced back to a placement for analysis. </w:t>
      </w:r>
    </w:p>
    <w:p>
      <w:pPr>
        <w:pStyle w:val="BodyText"/>
        <w:numPr>
          <w:ilvl w:val="0"/>
          <w:numId w:val="2"/>
        </w:numPr>
        <w:tabs>
          <w:tab w:val="clear" w:pos="1134"/>
          <w:tab w:val="left" w:pos="709" w:leader="none"/>
        </w:tabs>
        <w:bidi w:val="0"/>
        <w:spacing w:before="0" w:after="0"/>
        <w:ind w:hanging="283" w:left="709"/>
        <w:jc w:val="left"/>
        <w:rPr/>
      </w:pPr>
      <w:r>
        <w:rPr/>
        <w:t xml:space="preserve">Anonymous responses </w:t>
      </w:r>
      <w:r>
        <w:rPr>
          <w:rStyle w:val="Strong"/>
        </w:rPr>
        <w:t>cannot</w:t>
      </w:r>
      <w:r>
        <w:rPr/>
        <w:t xml:space="preserve"> trigger follow-up with that student. </w:t>
      </w:r>
    </w:p>
    <w:p>
      <w:pPr>
        <w:pStyle w:val="BodyText"/>
        <w:numPr>
          <w:ilvl w:val="0"/>
          <w:numId w:val="2"/>
        </w:numPr>
        <w:tabs>
          <w:tab w:val="clear" w:pos="1134"/>
          <w:tab w:val="left" w:pos="709" w:leader="none"/>
        </w:tabs>
        <w:bidi w:val="0"/>
        <w:ind w:hanging="283" w:left="709"/>
        <w:jc w:val="left"/>
        <w:rPr/>
      </w:pPr>
      <w:r>
        <w:rPr/>
        <w:t xml:space="preserve">If a ward has only one student from one cohort in a period, even this grouping narrows to one person. In a small pilot that is a realistic scenario. </w:t>
      </w:r>
    </w:p>
    <w:p>
      <w:pPr>
        <w:pStyle w:val="Heading3"/>
        <w:bidi w:val="0"/>
        <w:jc w:val="left"/>
        <w:rPr/>
      </w:pPr>
      <w:r>
        <w:rPr/>
        <w:t>The trade-off you need to decide</w:t>
      </w:r>
    </w:p>
    <w:tbl>
      <w:tblPr>
        <w:tblW w:w="11339" w:type="dxa"/>
        <w:jc w:val="left"/>
        <w:tblInd w:w="0" w:type="dxa"/>
        <w:tblLayout w:type="fixed"/>
        <w:tblCellMar>
          <w:top w:w="28" w:type="dxa"/>
          <w:left w:w="28" w:type="dxa"/>
          <w:bottom w:w="28" w:type="dxa"/>
          <w:right w:w="28" w:type="dxa"/>
        </w:tblCellMar>
      </w:tblPr>
      <w:tblGrid>
        <w:gridCol w:w="2990"/>
        <w:gridCol w:w="8349"/>
      </w:tblGrid>
      <w:tr>
        <w:trPr>
          <w:tblHeader w:val="true"/>
        </w:trPr>
        <w:tc>
          <w:tcPr>
            <w:tcW w:w="2990" w:type="dxa"/>
            <w:tcBorders/>
            <w:vAlign w:val="center"/>
          </w:tcPr>
          <w:p>
            <w:pPr>
              <w:pStyle w:val="TableHeading"/>
              <w:suppressLineNumbers/>
              <w:shd w:fill="0D1B33" w:val="clear"/>
              <w:bidi w:val="0"/>
              <w:spacing w:before="0" w:after="283"/>
              <w:jc w:val="left"/>
              <w:rPr/>
            </w:pPr>
            <w:r>
              <w:rPr/>
              <w:t>If you want</w:t>
            </w:r>
          </w:p>
        </w:tc>
        <w:tc>
          <w:tcPr>
            <w:tcW w:w="8349" w:type="dxa"/>
            <w:tcBorders/>
            <w:vAlign w:val="center"/>
          </w:tcPr>
          <w:p>
            <w:pPr>
              <w:pStyle w:val="TableHeading"/>
              <w:suppressLineNumbers/>
              <w:shd w:fill="0D1B33" w:val="clear"/>
              <w:bidi w:val="0"/>
              <w:spacing w:before="0" w:after="283"/>
              <w:jc w:val="left"/>
              <w:rPr/>
            </w:pPr>
            <w:r>
              <w:rPr/>
              <w:t>Then</w:t>
            </w:r>
          </w:p>
        </w:tc>
      </w:tr>
      <w:tr>
        <w:trPr/>
        <w:tc>
          <w:tcPr>
            <w:tcW w:w="2990" w:type="dxa"/>
            <w:tcBorders/>
            <w:vAlign w:val="center"/>
          </w:tcPr>
          <w:p>
            <w:pPr>
              <w:pStyle w:val="TableContents"/>
              <w:bidi w:val="0"/>
              <w:spacing w:before="0" w:after="283"/>
              <w:jc w:val="left"/>
              <w:rPr/>
            </w:pPr>
            <w:r>
              <w:rPr/>
              <w:t>Genuine anonymity</w:t>
            </w:r>
          </w:p>
        </w:tc>
        <w:tc>
          <w:tcPr>
            <w:tcW w:w="8349" w:type="dxa"/>
            <w:tcBorders/>
            <w:vAlign w:val="center"/>
          </w:tcPr>
          <w:p>
            <w:pPr>
              <w:pStyle w:val="TableContents"/>
              <w:bidi w:val="0"/>
              <w:spacing w:before="0" w:after="283"/>
              <w:jc w:val="left"/>
              <w:rPr/>
            </w:pPr>
            <w:r>
              <w:rPr/>
              <w:t>Accept that anonymous responses are analysable only at ward/cohort level, and cannot be followed up</w:t>
            </w:r>
          </w:p>
        </w:tc>
      </w:tr>
      <w:tr>
        <w:trPr/>
        <w:tc>
          <w:tcPr>
            <w:tcW w:w="2990" w:type="dxa"/>
            <w:tcBorders/>
            <w:vAlign w:val="center"/>
          </w:tcPr>
          <w:p>
            <w:pPr>
              <w:pStyle w:val="TableContents"/>
              <w:bidi w:val="0"/>
              <w:spacing w:before="0" w:after="283"/>
              <w:jc w:val="left"/>
              <w:rPr/>
            </w:pPr>
            <w:r>
              <w:rPr/>
              <w:t>Placement-level analysis of feedback</w:t>
            </w:r>
          </w:p>
        </w:tc>
        <w:tc>
          <w:tcPr>
            <w:tcW w:w="8349" w:type="dxa"/>
            <w:tcBorders/>
            <w:vAlign w:val="center"/>
          </w:tcPr>
          <w:p>
            <w:pPr>
              <w:pStyle w:val="TableContents"/>
              <w:bidi w:val="0"/>
              <w:spacing w:before="0" w:after="283"/>
              <w:jc w:val="left"/>
              <w:rPr/>
            </w:pPr>
            <w:r>
              <w:rPr/>
              <w:t xml:space="preserve">The mode must be called </w:t>
            </w:r>
            <w:r>
              <w:rPr>
                <w:rStyle w:val="Strong"/>
              </w:rPr>
              <w:t>confidential</w:t>
            </w:r>
            <w:r>
              <w:rPr/>
              <w:t xml:space="preserve"> (restricted access), not </w:t>
            </w:r>
            <w:r>
              <w:rPr>
                <w:rStyle w:val="Strong"/>
              </w:rPr>
              <w:t>anonymous</w:t>
            </w:r>
            <w:r>
              <w:rPr/>
              <w:t>, and students must be told exactly that</w:t>
            </w:r>
          </w:p>
        </w:tc>
      </w:tr>
      <w:tr>
        <w:trPr/>
        <w:tc>
          <w:tcPr>
            <w:tcW w:w="2990" w:type="dxa"/>
            <w:tcBorders/>
            <w:vAlign w:val="center"/>
          </w:tcPr>
          <w:p>
            <w:pPr>
              <w:pStyle w:val="TableContents"/>
              <w:bidi w:val="0"/>
              <w:spacing w:before="0" w:after="283"/>
              <w:jc w:val="left"/>
              <w:rPr/>
            </w:pPr>
            <w:r>
              <w:rPr/>
              <w:t>Both</w:t>
            </w:r>
          </w:p>
        </w:tc>
        <w:tc>
          <w:tcPr>
            <w:tcW w:w="8349" w:type="dxa"/>
            <w:tcBorders/>
            <w:vAlign w:val="center"/>
          </w:tcPr>
          <w:p>
            <w:pPr>
              <w:pStyle w:val="TableContents"/>
              <w:bidi w:val="0"/>
              <w:spacing w:before="0" w:after="283"/>
              <w:jc w:val="left"/>
              <w:rPr/>
            </w:pPr>
            <w:r>
              <w:rPr/>
              <w:t>Not possible. This is a real constraint, not an implementation limitation</w:t>
            </w:r>
          </w:p>
        </w:tc>
      </w:tr>
    </w:tbl>
    <w:p>
      <w:pPr>
        <w:pStyle w:val="BodyText"/>
        <w:bidi w:val="0"/>
        <w:jc w:val="left"/>
        <w:rPr/>
      </w:pPr>
      <w:r>
        <w:rPr/>
        <w:t>Note this also affects the research evaluation: if the study needs to correlate feedback with individual placement characteristics, an anonymous mode cannot supply that data.</w:t>
      </w:r>
    </w:p>
    <w:p>
      <w:pPr>
        <w:pStyle w:val="Heading3"/>
        <w:bidi w:val="0"/>
        <w:jc w:val="left"/>
        <w:rPr/>
      </w:pPr>
      <w:r>
        <w:rPr/>
        <w:t>What we need from you</w:t>
      </w:r>
    </w:p>
    <w:p>
      <w:pPr>
        <w:pStyle w:val="BodyText"/>
        <w:numPr>
          <w:ilvl w:val="0"/>
          <w:numId w:val="3"/>
        </w:numPr>
        <w:tabs>
          <w:tab w:val="clear" w:pos="1134"/>
          <w:tab w:val="left" w:pos="709" w:leader="none"/>
        </w:tabs>
        <w:bidi w:val="0"/>
        <w:spacing w:before="0" w:after="0"/>
        <w:ind w:hanging="283" w:left="709"/>
        <w:jc w:val="left"/>
        <w:rPr/>
      </w:pPr>
      <w:r>
        <w:rPr/>
        <w:t xml:space="preserve">Confirm the anonymous mode is genuinely anonymous (our recommendation), </w:t>
      </w:r>
      <w:r>
        <w:rPr>
          <w:rStyle w:val="Strong"/>
        </w:rPr>
        <w:t>or</w:t>
      </w:r>
      <w:r>
        <w:rPr/>
        <w:t xml:space="preserve"> replace it with a clearly labelled confidential mode. </w:t>
      </w:r>
    </w:p>
    <w:p>
      <w:pPr>
        <w:pStyle w:val="BodyText"/>
        <w:numPr>
          <w:ilvl w:val="0"/>
          <w:numId w:val="3"/>
        </w:numPr>
        <w:tabs>
          <w:tab w:val="clear" w:pos="1134"/>
          <w:tab w:val="left" w:pos="709" w:leader="none"/>
        </w:tabs>
        <w:bidi w:val="0"/>
        <w:spacing w:before="0" w:after="0"/>
        <w:ind w:hanging="283" w:left="709"/>
        <w:jc w:val="left"/>
        <w:rPr/>
      </w:pPr>
      <w:r>
        <w:rPr/>
        <w:t xml:space="preserve">Confirm whether the research evaluation requires placement-level linkage of feedback. If it does, we need to know now. </w:t>
      </w:r>
    </w:p>
    <w:p>
      <w:pPr>
        <w:pStyle w:val="BodyText"/>
        <w:numPr>
          <w:ilvl w:val="0"/>
          <w:numId w:val="3"/>
        </w:numPr>
        <w:tabs>
          <w:tab w:val="clear" w:pos="1134"/>
          <w:tab w:val="left" w:pos="709" w:leader="none"/>
        </w:tabs>
        <w:bidi w:val="0"/>
        <w:ind w:hanging="283" w:left="709"/>
        <w:jc w:val="left"/>
        <w:rPr/>
      </w:pPr>
      <w:r>
        <w:rPr/>
        <w:t xml:space="preserve">Confirm the small-ward caveat is acceptable, and that consent wording will say so plainly rather than promising an anonymity the numbers cannot deliver. </w:t>
      </w:r>
    </w:p>
    <w:p>
      <w:pPr>
        <w:pStyle w:val="BodyText"/>
        <w:bidi w:val="0"/>
        <w:jc w:val="left"/>
        <w:rPr/>
      </w:pPr>
      <w:r>
        <w:rPr/>
        <w:t xml:space="preserve">A separate mechanism already exists for concerns needing follow-up: the escalation pathway, which is </w:t>
      </w:r>
      <w:r>
        <w:rPr>
          <w:rStyle w:val="Strong"/>
        </w:rPr>
        <w:t>deliberately not anonymous</w:t>
      </w:r>
      <w:r>
        <w:rPr/>
        <w:t xml:space="preserve"> because an uninvestigable safeguarding report helps nobody. The interface will state this before submission. Please confirm you are comfortable with that distinction.</w:t>
      </w:r>
    </w:p>
    <w:p>
      <w:pPr>
        <w:pStyle w:val="HorizontalLine"/>
        <w:bidi w:val="0"/>
        <w:jc w:val="left"/>
        <w:rPr/>
      </w:pPr>
      <w:r>
        <w:rPr/>
      </w:r>
    </w:p>
    <w:p>
      <w:pPr>
        <w:pStyle w:val="Heading2"/>
        <w:bidi w:val="0"/>
        <w:jc w:val="left"/>
        <w:rPr/>
      </w:pPr>
      <w:r>
        <w:rPr/>
        <w:t xml:space="preserve">4. Decision 3 — When a placement is paused, does the end date move? </w:t>
      </w:r>
      <w:r>
        <w:rPr>
          <w:rStyle w:val="Emphasis"/>
        </w:rPr>
        <w:t>(Blocks the database design)</w:t>
      </w:r>
    </w:p>
    <w:p>
      <w:pPr>
        <w:pStyle w:val="BodyText"/>
        <w:bidi w:val="0"/>
        <w:jc w:val="left"/>
        <w:rPr/>
      </w:pPr>
      <w:r>
        <w:rPr>
          <w:rStyle w:val="Strong"/>
        </w:rPr>
        <w:t>Reference:</w:t>
      </w:r>
      <w:r>
        <w:rPr/>
        <w:t xml:space="preserve"> OD-01.</w:t>
      </w:r>
    </w:p>
    <w:p>
      <w:pPr>
        <w:pStyle w:val="Heading3"/>
        <w:bidi w:val="0"/>
        <w:jc w:val="left"/>
        <w:rPr/>
      </w:pPr>
      <w:r>
        <w:rPr/>
        <w:t>The question</w:t>
      </w:r>
    </w:p>
    <w:p>
      <w:pPr>
        <w:pStyle w:val="BodyText"/>
        <w:bidi w:val="0"/>
        <w:jc w:val="left"/>
        <w:rPr/>
      </w:pPr>
      <w:r>
        <w:rPr/>
        <w:t>A student's placement runs 1 July to 1 September. On 15 July the ward closes for two weeks, or the student falls ill. The placement is paused and resumes on 29 July.</w:t>
      </w:r>
    </w:p>
    <w:p>
      <w:pPr>
        <w:pStyle w:val="BodyText"/>
        <w:bidi w:val="0"/>
        <w:jc w:val="left"/>
        <w:rPr/>
      </w:pPr>
      <w:r>
        <w:rPr/>
        <w:t xml:space="preserve">Does the placement now end on </w:t>
      </w:r>
      <w:r>
        <w:rPr>
          <w:rStyle w:val="Strong"/>
        </w:rPr>
        <w:t>1 September</w:t>
      </w:r>
      <w:r>
        <w:rPr/>
        <w:t xml:space="preserve"> (calendar preserved, student gets two weeks less mentorship) or </w:t>
      </w:r>
      <w:r>
        <w:rPr>
          <w:rStyle w:val="Strong"/>
        </w:rPr>
        <w:t>15 September</w:t>
      </w:r>
      <w:r>
        <w:rPr/>
        <w:t xml:space="preserve"> (mentorship time preserved, calendar extended)?</w:t>
      </w:r>
    </w:p>
    <w:tbl>
      <w:tblPr>
        <w:tblW w:w="11339" w:type="dxa"/>
        <w:jc w:val="left"/>
        <w:tblInd w:w="0" w:type="dxa"/>
        <w:tblLayout w:type="fixed"/>
        <w:tblCellMar>
          <w:top w:w="28" w:type="dxa"/>
          <w:left w:w="28" w:type="dxa"/>
          <w:bottom w:w="28" w:type="dxa"/>
          <w:right w:w="28" w:type="dxa"/>
        </w:tblCellMar>
      </w:tblPr>
      <w:tblGrid>
        <w:gridCol w:w="2705"/>
        <w:gridCol w:w="8634"/>
      </w:tblGrid>
      <w:tr>
        <w:trPr>
          <w:tblHeader w:val="true"/>
        </w:trPr>
        <w:tc>
          <w:tcPr>
            <w:tcW w:w="2705" w:type="dxa"/>
            <w:tcBorders/>
            <w:vAlign w:val="center"/>
          </w:tcPr>
          <w:p>
            <w:pPr>
              <w:pStyle w:val="TableHeading"/>
              <w:suppressLineNumbers/>
              <w:shd w:fill="0D1B33" w:val="clear"/>
              <w:bidi w:val="0"/>
              <w:spacing w:before="0" w:after="283"/>
              <w:jc w:val="left"/>
              <w:rPr/>
            </w:pPr>
            <w:r>
              <w:rPr/>
              <w:t>Option</w:t>
            </w:r>
          </w:p>
        </w:tc>
        <w:tc>
          <w:tcPr>
            <w:tcW w:w="8634" w:type="dxa"/>
            <w:tcBorders/>
            <w:vAlign w:val="center"/>
          </w:tcPr>
          <w:p>
            <w:pPr>
              <w:pStyle w:val="TableHeading"/>
              <w:suppressLineNumbers/>
              <w:shd w:fill="0D1B33" w:val="clear"/>
              <w:bidi w:val="0"/>
              <w:spacing w:before="0" w:after="283"/>
              <w:jc w:val="left"/>
              <w:rPr/>
            </w:pPr>
            <w:r>
              <w:rPr/>
              <w:t>Consequence</w:t>
            </w:r>
          </w:p>
        </w:tc>
      </w:tr>
      <w:tr>
        <w:trPr/>
        <w:tc>
          <w:tcPr>
            <w:tcW w:w="2705" w:type="dxa"/>
            <w:tcBorders/>
            <w:vAlign w:val="center"/>
          </w:tcPr>
          <w:p>
            <w:pPr>
              <w:pStyle w:val="TableContents"/>
              <w:bidi w:val="0"/>
              <w:spacing w:before="0" w:after="283"/>
              <w:jc w:val="left"/>
              <w:rPr/>
            </w:pPr>
            <w:r>
              <w:rPr>
                <w:rStyle w:val="Strong"/>
              </w:rPr>
              <w:t>End date extends (recommended)</w:t>
            </w:r>
          </w:p>
        </w:tc>
        <w:tc>
          <w:tcPr>
            <w:tcW w:w="8634" w:type="dxa"/>
            <w:tcBorders/>
            <w:vAlign w:val="center"/>
          </w:tcPr>
          <w:p>
            <w:pPr>
              <w:pStyle w:val="TableContents"/>
              <w:bidi w:val="0"/>
              <w:spacing w:before="0" w:after="283"/>
              <w:jc w:val="left"/>
              <w:rPr/>
            </w:pPr>
            <w:r>
              <w:rPr/>
              <w:t>The student receives their full intended mentorship time. Placement may run past the cohort's planned window and past the academic term</w:t>
            </w:r>
          </w:p>
        </w:tc>
      </w:tr>
      <w:tr>
        <w:trPr/>
        <w:tc>
          <w:tcPr>
            <w:tcW w:w="2705" w:type="dxa"/>
            <w:tcBorders/>
            <w:vAlign w:val="center"/>
          </w:tcPr>
          <w:p>
            <w:pPr>
              <w:pStyle w:val="TableContents"/>
              <w:bidi w:val="0"/>
              <w:spacing w:before="0" w:after="283"/>
              <w:jc w:val="left"/>
              <w:rPr/>
            </w:pPr>
            <w:r>
              <w:rPr/>
              <w:t>End date fixed</w:t>
            </w:r>
          </w:p>
        </w:tc>
        <w:tc>
          <w:tcPr>
            <w:tcW w:w="8634" w:type="dxa"/>
            <w:tcBorders/>
            <w:vAlign w:val="center"/>
          </w:tcPr>
          <w:p>
            <w:pPr>
              <w:pStyle w:val="TableContents"/>
              <w:bidi w:val="0"/>
              <w:spacing w:before="0" w:after="283"/>
              <w:jc w:val="left"/>
              <w:rPr/>
            </w:pPr>
            <w:r>
              <w:rPr/>
              <w:t>The calendar is predictable and cohort reporting is clean, but a paused student is quietly short-changed on supervision</w:t>
            </w:r>
          </w:p>
        </w:tc>
      </w:tr>
    </w:tbl>
    <w:p>
      <w:pPr>
        <w:pStyle w:val="BodyText"/>
        <w:bidi w:val="0"/>
        <w:jc w:val="left"/>
        <w:rPr/>
      </w:pPr>
      <w:r>
        <w:rPr/>
        <w:t xml:space="preserve">We recommend extending, and keeping the original dates recorded separately as </w:t>
      </w:r>
      <w:r>
        <w:rPr>
          <w:rStyle w:val="Emphasis"/>
        </w:rPr>
        <w:t>planned</w:t>
      </w:r>
      <w:r>
        <w:rPr/>
        <w:t xml:space="preserve"> start and end, so both the intended and actual windows are reportable.</w:t>
      </w:r>
    </w:p>
    <w:p>
      <w:pPr>
        <w:pStyle w:val="BodyText"/>
        <w:bidi w:val="0"/>
        <w:jc w:val="left"/>
        <w:rPr/>
      </w:pPr>
      <w:r>
        <w:rPr/>
        <w:t xml:space="preserve">This is a genuine academic and regulatory question, not a technical one: it turns on whether the placement's required duration is a </w:t>
      </w:r>
      <w:r>
        <w:rPr>
          <w:rStyle w:val="Emphasis"/>
        </w:rPr>
        <w:t>quantity of supervised practice</w:t>
      </w:r>
      <w:r>
        <w:rPr/>
        <w:t xml:space="preserve"> or a </w:t>
      </w:r>
      <w:r>
        <w:rPr>
          <w:rStyle w:val="Emphasis"/>
        </w:rPr>
        <w:t>period on the calendar</w:t>
      </w:r>
      <w:r>
        <w:rPr/>
        <w:t>. You will know which your accreditation treats it as; we do not.</w:t>
      </w:r>
    </w:p>
    <w:p>
      <w:pPr>
        <w:pStyle w:val="Heading3"/>
        <w:bidi w:val="0"/>
        <w:jc w:val="left"/>
        <w:rPr/>
      </w:pPr>
      <w:r>
        <w:rPr/>
        <w:t>Why we need it before building the database</w:t>
      </w:r>
    </w:p>
    <w:p>
      <w:pPr>
        <w:pStyle w:val="BodyText"/>
        <w:bidi w:val="0"/>
        <w:jc w:val="left"/>
        <w:rPr/>
      </w:pPr>
      <w:r>
        <w:rPr/>
        <w:t>The answer determines whether placement dates are fixed values or mutable ones, and whether we store one pair of dates or two. Changing that after real placements exist means a data migration on live pilot records.</w:t>
      </w:r>
    </w:p>
    <w:p>
      <w:pPr>
        <w:pStyle w:val="BodyText"/>
        <w:bidi w:val="0"/>
        <w:jc w:val="left"/>
        <w:rPr/>
      </w:pPr>
      <w:r>
        <w:rPr>
          <w:rStyle w:val="Strong"/>
        </w:rPr>
        <w:t>This blocks Stage 5 (database design), not the pilot.</w:t>
      </w:r>
      <w:r>
        <w:rPr/>
        <w:t xml:space="preserve"> We can continue with module architecture in the meantime.</w:t>
      </w:r>
    </w:p>
    <w:p>
      <w:pPr>
        <w:pStyle w:val="HorizontalLine"/>
        <w:bidi w:val="0"/>
        <w:jc w:val="left"/>
        <w:rPr/>
      </w:pPr>
      <w:r>
        <w:rPr/>
      </w:r>
    </w:p>
    <w:p>
      <w:pPr>
        <w:pStyle w:val="Heading2"/>
        <w:bidi w:val="0"/>
        <w:jc w:val="left"/>
        <w:rPr/>
      </w:pPr>
      <w:r>
        <w:rPr/>
        <w:t>5. Ten Places Where Our Design Changed Something the Concept Note Said</w:t>
      </w:r>
    </w:p>
    <w:p>
      <w:pPr>
        <w:pStyle w:val="BodyText"/>
        <w:bidi w:val="0"/>
        <w:jc w:val="left"/>
        <w:rPr/>
      </w:pPr>
      <w:r>
        <w:rPr/>
        <w:t>None of these are defects in the Concept Note. They are the design sequence doing its job. We are listing them so nothing is silently overridden — please flag anything you disagree with.</w:t>
      </w:r>
    </w:p>
    <w:tbl>
      <w:tblPr>
        <w:tblW w:w="11339" w:type="dxa"/>
        <w:jc w:val="left"/>
        <w:tblInd w:w="0" w:type="dxa"/>
        <w:tblLayout w:type="fixed"/>
        <w:tblCellMar>
          <w:top w:w="28" w:type="dxa"/>
          <w:left w:w="28" w:type="dxa"/>
          <w:bottom w:w="28" w:type="dxa"/>
          <w:right w:w="28" w:type="dxa"/>
        </w:tblCellMar>
      </w:tblPr>
      <w:tblGrid>
        <w:gridCol w:w="366"/>
        <w:gridCol w:w="2217"/>
        <w:gridCol w:w="4441"/>
        <w:gridCol w:w="2168"/>
        <w:gridCol w:w="2147"/>
      </w:tblGrid>
      <w:tr>
        <w:trPr>
          <w:tblHeader w:val="true"/>
        </w:trPr>
        <w:tc>
          <w:tcPr>
            <w:tcW w:w="366" w:type="dxa"/>
            <w:tcBorders/>
            <w:vAlign w:val="center"/>
          </w:tcPr>
          <w:p>
            <w:pPr>
              <w:pStyle w:val="TableHeading"/>
              <w:suppressLineNumbers/>
              <w:shd w:fill="0D1B33" w:val="clear"/>
              <w:bidi w:val="0"/>
              <w:spacing w:before="0" w:after="283"/>
              <w:jc w:val="left"/>
              <w:rPr/>
            </w:pPr>
            <w:r>
              <w:rPr/>
              <w:t>#</w:t>
            </w:r>
          </w:p>
        </w:tc>
        <w:tc>
          <w:tcPr>
            <w:tcW w:w="2217" w:type="dxa"/>
            <w:tcBorders/>
            <w:vAlign w:val="center"/>
          </w:tcPr>
          <w:p>
            <w:pPr>
              <w:pStyle w:val="TableHeading"/>
              <w:suppressLineNumbers/>
              <w:shd w:fill="0D1B33" w:val="clear"/>
              <w:bidi w:val="0"/>
              <w:spacing w:before="0" w:after="283"/>
              <w:jc w:val="left"/>
              <w:rPr/>
            </w:pPr>
            <w:r>
              <w:rPr/>
              <w:t>Concept Note</w:t>
            </w:r>
          </w:p>
        </w:tc>
        <w:tc>
          <w:tcPr>
            <w:tcW w:w="4441" w:type="dxa"/>
            <w:tcBorders/>
            <w:vAlign w:val="center"/>
          </w:tcPr>
          <w:p>
            <w:pPr>
              <w:pStyle w:val="TableHeading"/>
              <w:suppressLineNumbers/>
              <w:shd w:fill="0D1B33" w:val="clear"/>
              <w:bidi w:val="0"/>
              <w:spacing w:before="0" w:after="283"/>
              <w:jc w:val="left"/>
              <w:rPr/>
            </w:pPr>
            <w:r>
              <w:rPr/>
              <w:t>Our design</w:t>
            </w:r>
          </w:p>
        </w:tc>
        <w:tc>
          <w:tcPr>
            <w:tcW w:w="2168" w:type="dxa"/>
            <w:tcBorders/>
            <w:vAlign w:val="center"/>
          </w:tcPr>
          <w:p>
            <w:pPr>
              <w:pStyle w:val="TableHeading"/>
              <w:suppressLineNumbers/>
              <w:shd w:fill="0D1B33" w:val="clear"/>
              <w:bidi w:val="0"/>
              <w:spacing w:before="0" w:after="283"/>
              <w:jc w:val="left"/>
              <w:rPr/>
            </w:pPr>
            <w:r>
              <w:rPr/>
              <w:t>Type</w:t>
            </w:r>
          </w:p>
        </w:tc>
        <w:tc>
          <w:tcPr>
            <w:tcW w:w="2147" w:type="dxa"/>
            <w:tcBorders/>
            <w:vAlign w:val="center"/>
          </w:tcPr>
          <w:p>
            <w:pPr>
              <w:pStyle w:val="TableHeading"/>
              <w:suppressLineNumbers/>
              <w:shd w:fill="0D1B33" w:val="clear"/>
              <w:bidi w:val="0"/>
              <w:spacing w:before="0" w:after="283"/>
              <w:jc w:val="left"/>
              <w:rPr/>
            </w:pPr>
            <w:r>
              <w:rPr/>
              <w:t>Needs your acknowledgement</w:t>
            </w:r>
          </w:p>
        </w:tc>
      </w:tr>
      <w:tr>
        <w:trPr/>
        <w:tc>
          <w:tcPr>
            <w:tcW w:w="366" w:type="dxa"/>
            <w:tcBorders/>
            <w:vAlign w:val="center"/>
          </w:tcPr>
          <w:p>
            <w:pPr>
              <w:pStyle w:val="TableContents"/>
              <w:bidi w:val="0"/>
              <w:spacing w:before="0" w:after="283"/>
              <w:jc w:val="left"/>
              <w:rPr/>
            </w:pPr>
            <w:r>
              <w:rPr/>
              <w:t>C-01</w:t>
            </w:r>
          </w:p>
        </w:tc>
        <w:tc>
          <w:tcPr>
            <w:tcW w:w="2217" w:type="dxa"/>
            <w:tcBorders/>
            <w:vAlign w:val="center"/>
          </w:tcPr>
          <w:p>
            <w:pPr>
              <w:pStyle w:val="TableContents"/>
              <w:bidi w:val="0"/>
              <w:spacing w:before="0" w:after="283"/>
              <w:jc w:val="left"/>
              <w:rPr/>
            </w:pPr>
            <w:r>
              <w:rPr/>
              <w:t>CPD/Content Reviewer is an MVP role</w:t>
            </w:r>
          </w:p>
        </w:tc>
        <w:tc>
          <w:tcPr>
            <w:tcW w:w="4441" w:type="dxa"/>
            <w:tcBorders/>
            <w:vAlign w:val="center"/>
          </w:tcPr>
          <w:p>
            <w:pPr>
              <w:pStyle w:val="TableContents"/>
              <w:bidi w:val="0"/>
              <w:spacing w:before="0" w:after="283"/>
              <w:jc w:val="left"/>
              <w:rPr/>
            </w:pPr>
            <w:r>
              <w:rPr/>
              <w:t>Deferred to Phase 2 — it touches no part of the placement workflow, and the Note already defers regulator integration</w:t>
            </w:r>
          </w:p>
        </w:tc>
        <w:tc>
          <w:tcPr>
            <w:tcW w:w="2168" w:type="dxa"/>
            <w:tcBorders/>
            <w:vAlign w:val="center"/>
          </w:tcPr>
          <w:p>
            <w:pPr>
              <w:pStyle w:val="TableContents"/>
              <w:bidi w:val="0"/>
              <w:spacing w:before="0" w:after="283"/>
              <w:jc w:val="left"/>
              <w:rPr/>
            </w:pPr>
            <w:r>
              <w:rPr/>
              <w:t>Scope reduction</w:t>
            </w:r>
          </w:p>
        </w:tc>
        <w:tc>
          <w:tcPr>
            <w:tcW w:w="2147" w:type="dxa"/>
            <w:tcBorders/>
            <w:vAlign w:val="center"/>
          </w:tcPr>
          <w:p>
            <w:pPr>
              <w:pStyle w:val="TableContents"/>
              <w:bidi w:val="0"/>
              <w:spacing w:before="0" w:after="283"/>
              <w:jc w:val="left"/>
              <w:rPr/>
            </w:pPr>
            <w:r>
              <w:rPr>
                <w:rStyle w:val="Strong"/>
              </w:rPr>
              <w:t>Yes</w:t>
            </w:r>
          </w:p>
        </w:tc>
      </w:tr>
      <w:tr>
        <w:trPr/>
        <w:tc>
          <w:tcPr>
            <w:tcW w:w="366" w:type="dxa"/>
            <w:tcBorders/>
            <w:vAlign w:val="center"/>
          </w:tcPr>
          <w:p>
            <w:pPr>
              <w:pStyle w:val="TableContents"/>
              <w:bidi w:val="0"/>
              <w:spacing w:before="0" w:after="283"/>
              <w:jc w:val="left"/>
              <w:rPr/>
            </w:pPr>
            <w:r>
              <w:rPr/>
              <w:t>C-02</w:t>
            </w:r>
          </w:p>
        </w:tc>
        <w:tc>
          <w:tcPr>
            <w:tcW w:w="2217" w:type="dxa"/>
            <w:tcBorders/>
            <w:vAlign w:val="center"/>
          </w:tcPr>
          <w:p>
            <w:pPr>
              <w:pStyle w:val="TableContents"/>
              <w:bidi w:val="0"/>
              <w:spacing w:before="0" w:after="283"/>
              <w:jc w:val="left"/>
              <w:rPr/>
            </w:pPr>
            <w:r>
              <w:rPr/>
              <w:t>Student profile holds their assigned mentor and placement dates</w:t>
            </w:r>
          </w:p>
        </w:tc>
        <w:tc>
          <w:tcPr>
            <w:tcW w:w="4441" w:type="dxa"/>
            <w:tcBorders/>
            <w:vAlign w:val="center"/>
          </w:tcPr>
          <w:p>
            <w:pPr>
              <w:pStyle w:val="TableContents"/>
              <w:bidi w:val="0"/>
              <w:spacing w:before="0" w:after="283"/>
              <w:jc w:val="left"/>
              <w:rPr/>
            </w:pPr>
            <w:r>
              <w:rPr/>
              <w:t>Those belong to the placement; a student has several placements over time</w:t>
            </w:r>
          </w:p>
        </w:tc>
        <w:tc>
          <w:tcPr>
            <w:tcW w:w="2168" w:type="dxa"/>
            <w:tcBorders/>
            <w:vAlign w:val="center"/>
          </w:tcPr>
          <w:p>
            <w:pPr>
              <w:pStyle w:val="TableContents"/>
              <w:bidi w:val="0"/>
              <w:spacing w:before="0" w:after="283"/>
              <w:jc w:val="left"/>
              <w:rPr/>
            </w:pPr>
            <w:r>
              <w:rPr/>
              <w:t>Structural only</w:t>
            </w:r>
          </w:p>
        </w:tc>
        <w:tc>
          <w:tcPr>
            <w:tcW w:w="2147" w:type="dxa"/>
            <w:tcBorders/>
            <w:vAlign w:val="center"/>
          </w:tcPr>
          <w:p>
            <w:pPr>
              <w:pStyle w:val="TableContents"/>
              <w:bidi w:val="0"/>
              <w:spacing w:before="0" w:after="283"/>
              <w:jc w:val="left"/>
              <w:rPr/>
            </w:pPr>
            <w:r>
              <w:rPr/>
              <w:t>No</w:t>
            </w:r>
          </w:p>
        </w:tc>
      </w:tr>
      <w:tr>
        <w:trPr/>
        <w:tc>
          <w:tcPr>
            <w:tcW w:w="366" w:type="dxa"/>
            <w:tcBorders/>
            <w:vAlign w:val="center"/>
          </w:tcPr>
          <w:p>
            <w:pPr>
              <w:pStyle w:val="TableContents"/>
              <w:bidi w:val="0"/>
              <w:spacing w:before="0" w:after="283"/>
              <w:jc w:val="left"/>
              <w:rPr/>
            </w:pPr>
            <w:r>
              <w:rPr/>
              <w:t>C-03</w:t>
            </w:r>
          </w:p>
        </w:tc>
        <w:tc>
          <w:tcPr>
            <w:tcW w:w="2217" w:type="dxa"/>
            <w:tcBorders/>
            <w:vAlign w:val="center"/>
          </w:tcPr>
          <w:p>
            <w:pPr>
              <w:pStyle w:val="TableContents"/>
              <w:bidi w:val="0"/>
              <w:spacing w:before="0" w:after="283"/>
              <w:jc w:val="left"/>
              <w:rPr/>
            </w:pPr>
            <w:r>
              <w:rPr/>
              <w:t>Feedback visibility is an open decision</w:t>
            </w:r>
          </w:p>
        </w:tc>
        <w:tc>
          <w:tcPr>
            <w:tcW w:w="4441" w:type="dxa"/>
            <w:tcBorders/>
            <w:vAlign w:val="center"/>
          </w:tcPr>
          <w:p>
            <w:pPr>
              <w:pStyle w:val="TableContents"/>
              <w:bidi w:val="0"/>
              <w:spacing w:before="0" w:after="283"/>
              <w:jc w:val="left"/>
              <w:rPr/>
            </w:pPr>
            <w:r>
              <w:rPr/>
              <w:t>See §2</w:t>
            </w:r>
          </w:p>
        </w:tc>
        <w:tc>
          <w:tcPr>
            <w:tcW w:w="2168" w:type="dxa"/>
            <w:tcBorders/>
            <w:vAlign w:val="center"/>
          </w:tcPr>
          <w:p>
            <w:pPr>
              <w:pStyle w:val="TableContents"/>
              <w:bidi w:val="0"/>
              <w:spacing w:before="0" w:after="283"/>
              <w:jc w:val="left"/>
              <w:rPr/>
            </w:pPr>
            <w:r>
              <w:rPr/>
              <w:t>Decision</w:t>
            </w:r>
          </w:p>
        </w:tc>
        <w:tc>
          <w:tcPr>
            <w:tcW w:w="2147" w:type="dxa"/>
            <w:tcBorders/>
            <w:vAlign w:val="center"/>
          </w:tcPr>
          <w:p>
            <w:pPr>
              <w:pStyle w:val="TableContents"/>
              <w:bidi w:val="0"/>
              <w:spacing w:before="0" w:after="283"/>
              <w:jc w:val="left"/>
              <w:rPr/>
            </w:pPr>
            <w:r>
              <w:rPr>
                <w:rStyle w:val="Strong"/>
              </w:rPr>
              <w:t>Yes — blocks pilot</w:t>
            </w:r>
          </w:p>
        </w:tc>
      </w:tr>
      <w:tr>
        <w:trPr/>
        <w:tc>
          <w:tcPr>
            <w:tcW w:w="366" w:type="dxa"/>
            <w:tcBorders/>
            <w:vAlign w:val="center"/>
          </w:tcPr>
          <w:p>
            <w:pPr>
              <w:pStyle w:val="TableContents"/>
              <w:bidi w:val="0"/>
              <w:spacing w:before="0" w:after="283"/>
              <w:jc w:val="left"/>
              <w:rPr/>
            </w:pPr>
            <w:r>
              <w:rPr/>
              <w:t>C-04</w:t>
            </w:r>
          </w:p>
        </w:tc>
        <w:tc>
          <w:tcPr>
            <w:tcW w:w="2217" w:type="dxa"/>
            <w:tcBorders/>
            <w:vAlign w:val="center"/>
          </w:tcPr>
          <w:p>
            <w:pPr>
              <w:pStyle w:val="TableContents"/>
              <w:bidi w:val="0"/>
              <w:spacing w:before="0" w:after="283"/>
              <w:jc w:val="left"/>
              <w:rPr/>
            </w:pPr>
            <w:r>
              <w:rPr/>
              <w:t>Induction checklist is completed when the student reports to the unit</w:t>
            </w:r>
          </w:p>
        </w:tc>
        <w:tc>
          <w:tcPr>
            <w:tcW w:w="4441" w:type="dxa"/>
            <w:tcBorders/>
            <w:vAlign w:val="center"/>
          </w:tcPr>
          <w:p>
            <w:pPr>
              <w:pStyle w:val="TableContents"/>
              <w:bidi w:val="0"/>
              <w:spacing w:before="0" w:after="283"/>
              <w:jc w:val="left"/>
              <w:rPr/>
            </w:pPr>
            <w:r>
              <w:rPr/>
              <w:t>Also a hard gate: no mentorship session can be logged until induction is complete</w:t>
            </w:r>
          </w:p>
        </w:tc>
        <w:tc>
          <w:tcPr>
            <w:tcW w:w="2168" w:type="dxa"/>
            <w:tcBorders/>
            <w:vAlign w:val="center"/>
          </w:tcPr>
          <w:p>
            <w:pPr>
              <w:pStyle w:val="TableContents"/>
              <w:bidi w:val="0"/>
              <w:spacing w:before="0" w:after="283"/>
              <w:jc w:val="left"/>
              <w:rPr/>
            </w:pPr>
            <w:r>
              <w:rPr/>
              <w:t>Strengthening</w:t>
            </w:r>
          </w:p>
        </w:tc>
        <w:tc>
          <w:tcPr>
            <w:tcW w:w="2147" w:type="dxa"/>
            <w:tcBorders/>
            <w:vAlign w:val="center"/>
          </w:tcPr>
          <w:p>
            <w:pPr>
              <w:pStyle w:val="TableContents"/>
              <w:bidi w:val="0"/>
              <w:spacing w:before="0" w:after="283"/>
              <w:jc w:val="left"/>
              <w:rPr/>
            </w:pPr>
            <w:r>
              <w:rPr>
                <w:rStyle w:val="Strong"/>
              </w:rPr>
              <w:t>Yes</w:t>
            </w:r>
            <w:r>
              <w:rPr/>
              <w:t xml:space="preserve"> — this can block a ward, deliberately</w:t>
            </w:r>
          </w:p>
        </w:tc>
      </w:tr>
      <w:tr>
        <w:trPr/>
        <w:tc>
          <w:tcPr>
            <w:tcW w:w="366" w:type="dxa"/>
            <w:tcBorders/>
            <w:vAlign w:val="center"/>
          </w:tcPr>
          <w:p>
            <w:pPr>
              <w:pStyle w:val="TableContents"/>
              <w:bidi w:val="0"/>
              <w:spacing w:before="0" w:after="283"/>
              <w:jc w:val="left"/>
              <w:rPr/>
            </w:pPr>
            <w:r>
              <w:rPr/>
              <w:t>C-05</w:t>
            </w:r>
          </w:p>
        </w:tc>
        <w:tc>
          <w:tcPr>
            <w:tcW w:w="2217" w:type="dxa"/>
            <w:tcBorders/>
            <w:vAlign w:val="center"/>
          </w:tcPr>
          <w:p>
            <w:pPr>
              <w:pStyle w:val="TableContents"/>
              <w:bidi w:val="0"/>
              <w:spacing w:before="0" w:after="283"/>
              <w:jc w:val="left"/>
              <w:rPr/>
            </w:pPr>
            <w:r>
              <w:rPr/>
              <w:t>Escalation access "restricted to authorised reviewers"</w:t>
            </w:r>
          </w:p>
        </w:tc>
        <w:tc>
          <w:tcPr>
            <w:tcW w:w="4441" w:type="dxa"/>
            <w:tcBorders/>
            <w:vAlign w:val="center"/>
          </w:tcPr>
          <w:p>
            <w:pPr>
              <w:pStyle w:val="TableContents"/>
              <w:bidi w:val="0"/>
              <w:spacing w:before="0" w:after="283"/>
              <w:jc w:val="left"/>
              <w:rPr/>
            </w:pPr>
            <w:r>
              <w:rPr/>
              <w:t>Only the assigned reviewer, the submitter, and the Programme Administrator can read the description; the subject of a concern can never review it; every read is logged</w:t>
            </w:r>
          </w:p>
        </w:tc>
        <w:tc>
          <w:tcPr>
            <w:tcW w:w="2168" w:type="dxa"/>
            <w:tcBorders/>
            <w:vAlign w:val="center"/>
          </w:tcPr>
          <w:p>
            <w:pPr>
              <w:pStyle w:val="TableContents"/>
              <w:bidi w:val="0"/>
              <w:spacing w:before="0" w:after="283"/>
              <w:jc w:val="left"/>
              <w:rPr/>
            </w:pPr>
            <w:r>
              <w:rPr/>
              <w:t>Strengthening</w:t>
            </w:r>
          </w:p>
        </w:tc>
        <w:tc>
          <w:tcPr>
            <w:tcW w:w="2147" w:type="dxa"/>
            <w:tcBorders/>
            <w:vAlign w:val="center"/>
          </w:tcPr>
          <w:p>
            <w:pPr>
              <w:pStyle w:val="TableContents"/>
              <w:bidi w:val="0"/>
              <w:spacing w:before="0" w:after="283"/>
              <w:jc w:val="left"/>
              <w:rPr/>
            </w:pPr>
            <w:r>
              <w:rPr>
                <w:rStyle w:val="Strong"/>
              </w:rPr>
              <w:t>Yes</w:t>
            </w:r>
            <w:r>
              <w:rPr/>
              <w:t xml:space="preserve"> — informs consent wording</w:t>
            </w:r>
          </w:p>
        </w:tc>
      </w:tr>
      <w:tr>
        <w:trPr/>
        <w:tc>
          <w:tcPr>
            <w:tcW w:w="366" w:type="dxa"/>
            <w:tcBorders/>
            <w:vAlign w:val="center"/>
          </w:tcPr>
          <w:p>
            <w:pPr>
              <w:pStyle w:val="TableContents"/>
              <w:bidi w:val="0"/>
              <w:spacing w:before="0" w:after="283"/>
              <w:jc w:val="left"/>
              <w:rPr/>
            </w:pPr>
            <w:r>
              <w:rPr/>
              <w:t>C-06</w:t>
            </w:r>
          </w:p>
        </w:tc>
        <w:tc>
          <w:tcPr>
            <w:tcW w:w="2217" w:type="dxa"/>
            <w:tcBorders/>
            <w:vAlign w:val="center"/>
          </w:tcPr>
          <w:p>
            <w:pPr>
              <w:pStyle w:val="TableContents"/>
              <w:bidi w:val="0"/>
              <w:spacing w:before="0" w:after="283"/>
              <w:jc w:val="left"/>
              <w:rPr/>
            </w:pPr>
            <w:r>
              <w:rPr/>
              <w:t>Offline support means draft-saving and retry sync</w:t>
            </w:r>
          </w:p>
        </w:tc>
        <w:tc>
          <w:tcPr>
            <w:tcW w:w="4441" w:type="dxa"/>
            <w:tcBorders/>
            <w:vAlign w:val="center"/>
          </w:tcPr>
          <w:p>
            <w:pPr>
              <w:pStyle w:val="TableContents"/>
              <w:bidi w:val="0"/>
              <w:spacing w:before="0" w:after="283"/>
              <w:jc w:val="left"/>
              <w:rPr/>
            </w:pPr>
            <w:r>
              <w:rPr/>
              <w:t>Retries can arrive hours later, after the placement has changed. Mentors will get a visible "unsynced logs" screen so nothing is silently lost</w:t>
            </w:r>
          </w:p>
        </w:tc>
        <w:tc>
          <w:tcPr>
            <w:tcW w:w="2168" w:type="dxa"/>
            <w:tcBorders/>
            <w:vAlign w:val="center"/>
          </w:tcPr>
          <w:p>
            <w:pPr>
              <w:pStyle w:val="TableContents"/>
              <w:bidi w:val="0"/>
              <w:spacing w:before="0" w:after="283"/>
              <w:jc w:val="left"/>
              <w:rPr/>
            </w:pPr>
            <w:r>
              <w:rPr/>
              <w:t>New requirement</w:t>
            </w:r>
          </w:p>
        </w:tc>
        <w:tc>
          <w:tcPr>
            <w:tcW w:w="2147" w:type="dxa"/>
            <w:tcBorders/>
            <w:vAlign w:val="center"/>
          </w:tcPr>
          <w:p>
            <w:pPr>
              <w:pStyle w:val="TableContents"/>
              <w:bidi w:val="0"/>
              <w:spacing w:before="0" w:after="283"/>
              <w:jc w:val="left"/>
              <w:rPr/>
            </w:pPr>
            <w:r>
              <w:rPr>
                <w:rStyle w:val="Strong"/>
              </w:rPr>
              <w:t>Yes</w:t>
            </w:r>
            <w:r>
              <w:rPr/>
              <w:t xml:space="preserve"> — small UI addition</w:t>
            </w:r>
          </w:p>
        </w:tc>
      </w:tr>
      <w:tr>
        <w:trPr/>
        <w:tc>
          <w:tcPr>
            <w:tcW w:w="366" w:type="dxa"/>
            <w:tcBorders/>
            <w:vAlign w:val="center"/>
          </w:tcPr>
          <w:p>
            <w:pPr>
              <w:pStyle w:val="TableContents"/>
              <w:bidi w:val="0"/>
              <w:spacing w:before="0" w:after="283"/>
              <w:jc w:val="left"/>
              <w:rPr/>
            </w:pPr>
            <w:r>
              <w:rPr/>
              <w:t>C-07</w:t>
            </w:r>
          </w:p>
        </w:tc>
        <w:tc>
          <w:tcPr>
            <w:tcW w:w="2217" w:type="dxa"/>
            <w:tcBorders/>
            <w:vAlign w:val="center"/>
          </w:tcPr>
          <w:p>
            <w:pPr>
              <w:pStyle w:val="TableContents"/>
              <w:bidi w:val="0"/>
              <w:spacing w:before="0" w:after="283"/>
              <w:jc w:val="left"/>
              <w:rPr/>
            </w:pPr>
            <w:r>
              <w:rPr/>
              <w:t>Dashboard indicators are stored metrics</w:t>
            </w:r>
          </w:p>
        </w:tc>
        <w:tc>
          <w:tcPr>
            <w:tcW w:w="4441" w:type="dxa"/>
            <w:tcBorders/>
            <w:vAlign w:val="center"/>
          </w:tcPr>
          <w:p>
            <w:pPr>
              <w:pStyle w:val="TableContents"/>
              <w:bidi w:val="0"/>
              <w:spacing w:before="0" w:after="283"/>
              <w:jc w:val="left"/>
              <w:rPr/>
            </w:pPr>
            <w:r>
              <w:rPr/>
              <w:t>Calculated on demand from the underlying records, so they can never disagree with the facts</w:t>
            </w:r>
          </w:p>
        </w:tc>
        <w:tc>
          <w:tcPr>
            <w:tcW w:w="2168" w:type="dxa"/>
            <w:tcBorders/>
            <w:vAlign w:val="center"/>
          </w:tcPr>
          <w:p>
            <w:pPr>
              <w:pStyle w:val="TableContents"/>
              <w:bidi w:val="0"/>
              <w:spacing w:before="0" w:after="283"/>
              <w:jc w:val="left"/>
              <w:rPr/>
            </w:pPr>
            <w:r>
              <w:rPr/>
              <w:t>Implementation only</w:t>
            </w:r>
          </w:p>
        </w:tc>
        <w:tc>
          <w:tcPr>
            <w:tcW w:w="2147" w:type="dxa"/>
            <w:tcBorders/>
            <w:vAlign w:val="center"/>
          </w:tcPr>
          <w:p>
            <w:pPr>
              <w:pStyle w:val="TableContents"/>
              <w:bidi w:val="0"/>
              <w:spacing w:before="0" w:after="283"/>
              <w:jc w:val="left"/>
              <w:rPr/>
            </w:pPr>
            <w:r>
              <w:rPr/>
              <w:t>No</w:t>
            </w:r>
          </w:p>
        </w:tc>
      </w:tr>
      <w:tr>
        <w:trPr/>
        <w:tc>
          <w:tcPr>
            <w:tcW w:w="366" w:type="dxa"/>
            <w:tcBorders/>
            <w:vAlign w:val="center"/>
          </w:tcPr>
          <w:p>
            <w:pPr>
              <w:pStyle w:val="TableContents"/>
              <w:bidi w:val="0"/>
              <w:spacing w:before="0" w:after="283"/>
              <w:jc w:val="left"/>
              <w:rPr/>
            </w:pPr>
            <w:r>
              <w:rPr/>
              <w:t>C-08</w:t>
            </w:r>
          </w:p>
        </w:tc>
        <w:tc>
          <w:tcPr>
            <w:tcW w:w="2217" w:type="dxa"/>
            <w:tcBorders/>
            <w:vAlign w:val="center"/>
          </w:tcPr>
          <w:p>
            <w:pPr>
              <w:pStyle w:val="TableContents"/>
              <w:bidi w:val="0"/>
              <w:spacing w:before="0" w:after="283"/>
              <w:jc w:val="left"/>
              <w:rPr/>
            </w:pPr>
            <w:r>
              <w:rPr/>
              <w:t>A ward has a maximum number of students</w:t>
            </w:r>
          </w:p>
        </w:tc>
        <w:tc>
          <w:tcPr>
            <w:tcW w:w="4441" w:type="dxa"/>
            <w:tcBorders/>
            <w:vAlign w:val="center"/>
          </w:tcPr>
          <w:p>
            <w:pPr>
              <w:pStyle w:val="TableContents"/>
              <w:bidi w:val="0"/>
              <w:spacing w:before="0" w:after="283"/>
              <w:jc w:val="left"/>
              <w:rPr/>
            </w:pPr>
            <w:r>
              <w:rPr/>
              <w:t>Enforced as a hard block on allocation, not a warning</w:t>
            </w:r>
          </w:p>
        </w:tc>
        <w:tc>
          <w:tcPr>
            <w:tcW w:w="2168" w:type="dxa"/>
            <w:tcBorders/>
            <w:vAlign w:val="center"/>
          </w:tcPr>
          <w:p>
            <w:pPr>
              <w:pStyle w:val="TableContents"/>
              <w:bidi w:val="0"/>
              <w:spacing w:before="0" w:after="283"/>
              <w:jc w:val="left"/>
              <w:rPr/>
            </w:pPr>
            <w:r>
              <w:rPr/>
              <w:t>Strengthening</w:t>
            </w:r>
          </w:p>
        </w:tc>
        <w:tc>
          <w:tcPr>
            <w:tcW w:w="2147" w:type="dxa"/>
            <w:tcBorders/>
            <w:vAlign w:val="center"/>
          </w:tcPr>
          <w:p>
            <w:pPr>
              <w:pStyle w:val="TableContents"/>
              <w:bidi w:val="0"/>
              <w:spacing w:before="0" w:after="283"/>
              <w:jc w:val="left"/>
              <w:rPr/>
            </w:pPr>
            <w:r>
              <w:rPr>
                <w:rStyle w:val="Strong"/>
              </w:rPr>
              <w:t>Yes</w:t>
            </w:r>
            <w:r>
              <w:rPr/>
              <w:t xml:space="preserve"> — confirm hard block is what you want</w:t>
            </w:r>
          </w:p>
        </w:tc>
      </w:tr>
      <w:tr>
        <w:trPr/>
        <w:tc>
          <w:tcPr>
            <w:tcW w:w="366" w:type="dxa"/>
            <w:tcBorders/>
            <w:vAlign w:val="center"/>
          </w:tcPr>
          <w:p>
            <w:pPr>
              <w:pStyle w:val="TableContents"/>
              <w:bidi w:val="0"/>
              <w:spacing w:before="0" w:after="283"/>
              <w:jc w:val="left"/>
              <w:rPr/>
            </w:pPr>
            <w:r>
              <w:rPr/>
              <w:t>C-09</w:t>
            </w:r>
          </w:p>
        </w:tc>
        <w:tc>
          <w:tcPr>
            <w:tcW w:w="2217" w:type="dxa"/>
            <w:tcBorders/>
            <w:vAlign w:val="center"/>
          </w:tcPr>
          <w:p>
            <w:pPr>
              <w:pStyle w:val="TableContents"/>
              <w:bidi w:val="0"/>
              <w:spacing w:before="0" w:after="283"/>
              <w:jc w:val="left"/>
              <w:rPr/>
            </w:pPr>
            <w:r>
              <w:rPr/>
              <w:t>"Escalation flag for serious concerns"</w:t>
            </w:r>
          </w:p>
        </w:tc>
        <w:tc>
          <w:tcPr>
            <w:tcW w:w="4441" w:type="dxa"/>
            <w:tcBorders/>
            <w:vAlign w:val="center"/>
          </w:tcPr>
          <w:p>
            <w:pPr>
              <w:pStyle w:val="TableContents"/>
              <w:bidi w:val="0"/>
              <w:spacing w:before="0" w:after="283"/>
              <w:jc w:val="left"/>
              <w:rPr/>
            </w:pPr>
            <w:r>
              <w:rPr/>
              <w:t>A full five-stage reviewed lifecycle with conflict-of-interest rules</w:t>
            </w:r>
          </w:p>
        </w:tc>
        <w:tc>
          <w:tcPr>
            <w:tcW w:w="2168" w:type="dxa"/>
            <w:tcBorders/>
            <w:vAlign w:val="center"/>
          </w:tcPr>
          <w:p>
            <w:pPr>
              <w:pStyle w:val="TableContents"/>
              <w:bidi w:val="0"/>
              <w:spacing w:before="0" w:after="283"/>
              <w:jc w:val="left"/>
              <w:rPr/>
            </w:pPr>
            <w:r>
              <w:rPr/>
              <w:t>Deeper than specified, given safeguarding stakes</w:t>
            </w:r>
          </w:p>
        </w:tc>
        <w:tc>
          <w:tcPr>
            <w:tcW w:w="2147" w:type="dxa"/>
            <w:tcBorders/>
            <w:vAlign w:val="center"/>
          </w:tcPr>
          <w:p>
            <w:pPr>
              <w:pStyle w:val="TableContents"/>
              <w:bidi w:val="0"/>
              <w:spacing w:before="0" w:after="283"/>
              <w:jc w:val="left"/>
              <w:rPr/>
            </w:pPr>
            <w:r>
              <w:rPr>
                <w:rStyle w:val="Strong"/>
              </w:rPr>
              <w:t>Yes</w:t>
            </w:r>
            <w:r>
              <w:rPr/>
              <w:t xml:space="preserve"> — acknowledge the added effort</w:t>
            </w:r>
          </w:p>
        </w:tc>
      </w:tr>
      <w:tr>
        <w:trPr/>
        <w:tc>
          <w:tcPr>
            <w:tcW w:w="366" w:type="dxa"/>
            <w:tcBorders/>
            <w:vAlign w:val="center"/>
          </w:tcPr>
          <w:p>
            <w:pPr>
              <w:pStyle w:val="TableContents"/>
              <w:bidi w:val="0"/>
              <w:spacing w:before="0" w:after="283"/>
              <w:jc w:val="left"/>
              <w:rPr/>
            </w:pPr>
            <w:r>
              <w:rPr/>
              <w:t>C-10</w:t>
            </w:r>
          </w:p>
        </w:tc>
        <w:tc>
          <w:tcPr>
            <w:tcW w:w="2217" w:type="dxa"/>
            <w:tcBorders/>
            <w:vAlign w:val="center"/>
          </w:tcPr>
          <w:p>
            <w:pPr>
              <w:pStyle w:val="TableContents"/>
              <w:bidi w:val="0"/>
              <w:spacing w:before="0" w:after="283"/>
              <w:jc w:val="left"/>
              <w:rPr/>
            </w:pPr>
            <w:r>
              <w:rPr/>
              <w:t>Capacity negotiation between coordinator and hospital</w:t>
            </w:r>
          </w:p>
        </w:tc>
        <w:tc>
          <w:tcPr>
            <w:tcW w:w="4441" w:type="dxa"/>
            <w:tcBorders/>
            <w:vAlign w:val="center"/>
          </w:tcPr>
          <w:p>
            <w:pPr>
              <w:pStyle w:val="TableContents"/>
              <w:bidi w:val="0"/>
              <w:spacing w:before="0" w:after="283"/>
              <w:jc w:val="left"/>
              <w:rPr/>
            </w:pPr>
            <w:r>
              <w:rPr/>
              <w:t>Stays an offline conversation for the MVP; we record the agreed number and build no workflow around it</w:t>
            </w:r>
          </w:p>
        </w:tc>
        <w:tc>
          <w:tcPr>
            <w:tcW w:w="2168" w:type="dxa"/>
            <w:tcBorders/>
            <w:vAlign w:val="center"/>
          </w:tcPr>
          <w:p>
            <w:pPr>
              <w:pStyle w:val="TableContents"/>
              <w:bidi w:val="0"/>
              <w:spacing w:before="0" w:after="283"/>
              <w:jc w:val="left"/>
              <w:rPr/>
            </w:pPr>
            <w:r>
              <w:rPr/>
              <w:t>Scope reduction</w:t>
            </w:r>
          </w:p>
        </w:tc>
        <w:tc>
          <w:tcPr>
            <w:tcW w:w="2147" w:type="dxa"/>
            <w:tcBorders/>
            <w:vAlign w:val="center"/>
          </w:tcPr>
          <w:p>
            <w:pPr>
              <w:pStyle w:val="TableContents"/>
              <w:bidi w:val="0"/>
              <w:spacing w:before="0" w:after="283"/>
              <w:jc w:val="left"/>
              <w:rPr/>
            </w:pPr>
            <w:r>
              <w:rPr>
                <w:rStyle w:val="Strong"/>
              </w:rPr>
              <w:t>Yes</w:t>
            </w:r>
            <w:r>
              <w:rPr/>
              <w:t xml:space="preserve"> — already recommended at Stage 1</w:t>
            </w:r>
          </w:p>
        </w:tc>
      </w:tr>
    </w:tbl>
    <w:p>
      <w:pPr>
        <w:pStyle w:val="HorizontalLine"/>
        <w:bidi w:val="0"/>
        <w:jc w:val="left"/>
        <w:rPr/>
      </w:pPr>
      <w:r>
        <w:rPr/>
      </w:r>
    </w:p>
    <w:p>
      <w:pPr>
        <w:pStyle w:val="Heading2"/>
        <w:bidi w:val="0"/>
        <w:jc w:val="left"/>
        <w:rPr/>
      </w:pPr>
      <w:r>
        <w:rPr/>
        <w:t>6. Eight Decisions We Have Made</w:t>
      </w:r>
    </w:p>
    <w:p>
      <w:pPr>
        <w:pStyle w:val="BodyText"/>
        <w:bidi w:val="0"/>
        <w:jc w:val="left"/>
        <w:rPr/>
      </w:pPr>
      <w:r>
        <w:rPr/>
        <w:t>Recorded so you can overturn any of them. Full reasoning is in Stage 3 §13 and Stage 3.5 §12.</w:t>
      </w:r>
    </w:p>
    <w:tbl>
      <w:tblPr>
        <w:tblW w:w="11339" w:type="dxa"/>
        <w:jc w:val="left"/>
        <w:tblInd w:w="0" w:type="dxa"/>
        <w:tblLayout w:type="fixed"/>
        <w:tblCellMar>
          <w:top w:w="28" w:type="dxa"/>
          <w:left w:w="28" w:type="dxa"/>
          <w:bottom w:w="28" w:type="dxa"/>
          <w:right w:w="28" w:type="dxa"/>
        </w:tblCellMar>
      </w:tblPr>
      <w:tblGrid>
        <w:gridCol w:w="850"/>
        <w:gridCol w:w="3376"/>
        <w:gridCol w:w="7113"/>
      </w:tblGrid>
      <w:tr>
        <w:trPr>
          <w:tblHeader w:val="true"/>
        </w:trPr>
        <w:tc>
          <w:tcPr>
            <w:tcW w:w="850" w:type="dxa"/>
            <w:tcBorders/>
            <w:vAlign w:val="center"/>
          </w:tcPr>
          <w:p>
            <w:pPr>
              <w:pStyle w:val="TableHeading"/>
              <w:suppressLineNumbers/>
              <w:shd w:fill="0D1B33" w:val="clear"/>
              <w:bidi w:val="0"/>
              <w:spacing w:before="0" w:after="283"/>
              <w:jc w:val="left"/>
              <w:rPr/>
            </w:pPr>
            <w:r>
              <w:rPr/>
              <w:t>ID</w:t>
            </w:r>
          </w:p>
        </w:tc>
        <w:tc>
          <w:tcPr>
            <w:tcW w:w="3376" w:type="dxa"/>
            <w:tcBorders/>
            <w:vAlign w:val="center"/>
          </w:tcPr>
          <w:p>
            <w:pPr>
              <w:pStyle w:val="TableHeading"/>
              <w:suppressLineNumbers/>
              <w:shd w:fill="0D1B33" w:val="clear"/>
              <w:bidi w:val="0"/>
              <w:spacing w:before="0" w:after="283"/>
              <w:jc w:val="left"/>
              <w:rPr/>
            </w:pPr>
            <w:r>
              <w:rPr/>
              <w:t>Decision</w:t>
            </w:r>
          </w:p>
        </w:tc>
        <w:tc>
          <w:tcPr>
            <w:tcW w:w="7113" w:type="dxa"/>
            <w:tcBorders/>
            <w:vAlign w:val="center"/>
          </w:tcPr>
          <w:p>
            <w:pPr>
              <w:pStyle w:val="TableHeading"/>
              <w:suppressLineNumbers/>
              <w:shd w:fill="0D1B33" w:val="clear"/>
              <w:bidi w:val="0"/>
              <w:spacing w:before="0" w:after="283"/>
              <w:jc w:val="left"/>
              <w:rPr/>
            </w:pPr>
            <w:r>
              <w:rPr/>
              <w:t>Our call</w:t>
            </w:r>
          </w:p>
        </w:tc>
      </w:tr>
      <w:tr>
        <w:trPr/>
        <w:tc>
          <w:tcPr>
            <w:tcW w:w="850" w:type="dxa"/>
            <w:tcBorders/>
            <w:vAlign w:val="center"/>
          </w:tcPr>
          <w:p>
            <w:pPr>
              <w:pStyle w:val="TableContents"/>
              <w:bidi w:val="0"/>
              <w:spacing w:before="0" w:after="283"/>
              <w:jc w:val="left"/>
              <w:rPr/>
            </w:pPr>
            <w:r>
              <w:rPr/>
              <w:t>OD-02</w:t>
            </w:r>
          </w:p>
        </w:tc>
        <w:tc>
          <w:tcPr>
            <w:tcW w:w="3376" w:type="dxa"/>
            <w:tcBorders/>
            <w:vAlign w:val="center"/>
          </w:tcPr>
          <w:p>
            <w:pPr>
              <w:pStyle w:val="TableContents"/>
              <w:bidi w:val="0"/>
              <w:spacing w:before="0" w:after="283"/>
              <w:jc w:val="left"/>
              <w:rPr/>
            </w:pPr>
            <w:r>
              <w:rPr/>
              <w:t>Must a mentor finish required training before a placement is announced to the student?</w:t>
            </w:r>
          </w:p>
        </w:tc>
        <w:tc>
          <w:tcPr>
            <w:tcW w:w="7113" w:type="dxa"/>
            <w:tcBorders/>
            <w:vAlign w:val="center"/>
          </w:tcPr>
          <w:p>
            <w:pPr>
              <w:pStyle w:val="TableContents"/>
              <w:bidi w:val="0"/>
              <w:spacing w:before="0" w:after="283"/>
              <w:jc w:val="left"/>
              <w:rPr/>
            </w:pPr>
            <w:r>
              <w:rPr/>
              <w:t xml:space="preserve">Yes by default, with a programme-level setting and an Administrator override that records a reason. A mentor can still be </w:t>
            </w:r>
            <w:r>
              <w:rPr>
                <w:rStyle w:val="Emphasis"/>
              </w:rPr>
              <w:t>assigned</w:t>
            </w:r>
            <w:r>
              <w:rPr/>
              <w:t xml:space="preserve"> while training is outstanding, so wards are never stalled by paperwork</w:t>
            </w:r>
          </w:p>
        </w:tc>
      </w:tr>
      <w:tr>
        <w:trPr/>
        <w:tc>
          <w:tcPr>
            <w:tcW w:w="850" w:type="dxa"/>
            <w:tcBorders/>
            <w:vAlign w:val="center"/>
          </w:tcPr>
          <w:p>
            <w:pPr>
              <w:pStyle w:val="TableContents"/>
              <w:bidi w:val="0"/>
              <w:spacing w:before="0" w:after="283"/>
              <w:jc w:val="left"/>
              <w:rPr/>
            </w:pPr>
            <w:r>
              <w:rPr/>
              <w:t>OD-04</w:t>
            </w:r>
          </w:p>
        </w:tc>
        <w:tc>
          <w:tcPr>
            <w:tcW w:w="3376" w:type="dxa"/>
            <w:tcBorders/>
            <w:vAlign w:val="center"/>
          </w:tcPr>
          <w:p>
            <w:pPr>
              <w:pStyle w:val="TableContents"/>
              <w:bidi w:val="0"/>
              <w:spacing w:before="0" w:after="283"/>
              <w:jc w:val="left"/>
              <w:rPr/>
            </w:pPr>
            <w:r>
              <w:rPr/>
              <w:t>Is a Nurse Manager's boundary the facility or the ward?</w:t>
            </w:r>
          </w:p>
        </w:tc>
        <w:tc>
          <w:tcPr>
            <w:tcW w:w="7113" w:type="dxa"/>
            <w:tcBorders/>
            <w:vAlign w:val="center"/>
          </w:tcPr>
          <w:p>
            <w:pPr>
              <w:pStyle w:val="TableContents"/>
              <w:bidi w:val="0"/>
              <w:spacing w:before="0" w:after="283"/>
              <w:jc w:val="left"/>
              <w:rPr/>
            </w:pPr>
            <w:r>
              <w:rPr/>
              <w:t>The facility, with ward as a filter. At pilot scale they are the same set</w:t>
            </w:r>
          </w:p>
        </w:tc>
      </w:tr>
      <w:tr>
        <w:trPr/>
        <w:tc>
          <w:tcPr>
            <w:tcW w:w="850" w:type="dxa"/>
            <w:tcBorders/>
            <w:vAlign w:val="center"/>
          </w:tcPr>
          <w:p>
            <w:pPr>
              <w:pStyle w:val="TableContents"/>
              <w:bidi w:val="0"/>
              <w:spacing w:before="0" w:after="283"/>
              <w:jc w:val="left"/>
              <w:rPr/>
            </w:pPr>
            <w:r>
              <w:rPr/>
              <w:t>OD-05</w:t>
            </w:r>
          </w:p>
        </w:tc>
        <w:tc>
          <w:tcPr>
            <w:tcW w:w="3376" w:type="dxa"/>
            <w:tcBorders/>
            <w:vAlign w:val="center"/>
          </w:tcPr>
          <w:p>
            <w:pPr>
              <w:pStyle w:val="TableContents"/>
              <w:bidi w:val="0"/>
              <w:spacing w:before="0" w:after="283"/>
              <w:jc w:val="left"/>
              <w:rPr/>
            </w:pPr>
            <w:r>
              <w:rPr/>
              <w:t>How long after completion does a placement become read-only?</w:t>
            </w:r>
          </w:p>
        </w:tc>
        <w:tc>
          <w:tcPr>
            <w:tcW w:w="7113" w:type="dxa"/>
            <w:tcBorders/>
            <w:vAlign w:val="center"/>
          </w:tcPr>
          <w:p>
            <w:pPr>
              <w:pStyle w:val="TableContents"/>
              <w:bidi w:val="0"/>
              <w:spacing w:before="0" w:after="283"/>
              <w:jc w:val="left"/>
              <w:rPr/>
            </w:pPr>
            <w:r>
              <w:rPr/>
              <w:t>30 days, configurable</w:t>
            </w:r>
          </w:p>
        </w:tc>
      </w:tr>
      <w:tr>
        <w:trPr/>
        <w:tc>
          <w:tcPr>
            <w:tcW w:w="850" w:type="dxa"/>
            <w:tcBorders/>
            <w:vAlign w:val="center"/>
          </w:tcPr>
          <w:p>
            <w:pPr>
              <w:pStyle w:val="TableContents"/>
              <w:bidi w:val="0"/>
              <w:spacing w:before="0" w:after="283"/>
              <w:jc w:val="left"/>
              <w:rPr/>
            </w:pPr>
            <w:r>
              <w:rPr/>
              <w:t>OD-07 / OD-11</w:t>
            </w:r>
          </w:p>
        </w:tc>
        <w:tc>
          <w:tcPr>
            <w:tcW w:w="3376" w:type="dxa"/>
            <w:tcBorders/>
            <w:vAlign w:val="center"/>
          </w:tcPr>
          <w:p>
            <w:pPr>
              <w:pStyle w:val="TableContents"/>
              <w:bidi w:val="0"/>
              <w:spacing w:before="0" w:after="283"/>
              <w:jc w:val="left"/>
              <w:rPr/>
            </w:pPr>
            <w:r>
              <w:rPr/>
              <w:t>Who may close a placement early, and does the university approve?</w:t>
            </w:r>
          </w:p>
        </w:tc>
        <w:tc>
          <w:tcPr>
            <w:tcW w:w="7113" w:type="dxa"/>
            <w:tcBorders/>
            <w:vAlign w:val="center"/>
          </w:tcPr>
          <w:p>
            <w:pPr>
              <w:pStyle w:val="TableContents"/>
              <w:bidi w:val="0"/>
              <w:spacing w:before="0" w:after="283"/>
              <w:jc w:val="left"/>
              <w:rPr/>
            </w:pPr>
            <w:r>
              <w:rPr/>
              <w:t>The Nurse Manager, with a recorded reason; the Coordinator is notified, not asked. Requiring cross-institution approval would stall closures indefinitely</w:t>
            </w:r>
          </w:p>
        </w:tc>
      </w:tr>
      <w:tr>
        <w:trPr/>
        <w:tc>
          <w:tcPr>
            <w:tcW w:w="850" w:type="dxa"/>
            <w:tcBorders/>
            <w:vAlign w:val="center"/>
          </w:tcPr>
          <w:p>
            <w:pPr>
              <w:pStyle w:val="TableContents"/>
              <w:bidi w:val="0"/>
              <w:spacing w:before="0" w:after="283"/>
              <w:jc w:val="left"/>
              <w:rPr/>
            </w:pPr>
            <w:r>
              <w:rPr/>
              <w:t>OD-08</w:t>
            </w:r>
          </w:p>
        </w:tc>
        <w:tc>
          <w:tcPr>
            <w:tcW w:w="3376" w:type="dxa"/>
            <w:tcBorders/>
            <w:vAlign w:val="center"/>
          </w:tcPr>
          <w:p>
            <w:pPr>
              <w:pStyle w:val="TableContents"/>
              <w:bidi w:val="0"/>
              <w:spacing w:before="0" w:after="283"/>
              <w:jc w:val="left"/>
              <w:rPr/>
            </w:pPr>
            <w:r>
              <w:rPr/>
              <w:t>Can a placement be completed while a concern is still open?</w:t>
            </w:r>
          </w:p>
        </w:tc>
        <w:tc>
          <w:tcPr>
            <w:tcW w:w="7113" w:type="dxa"/>
            <w:tcBorders/>
            <w:vAlign w:val="center"/>
          </w:tcPr>
          <w:p>
            <w:pPr>
              <w:pStyle w:val="TableContents"/>
              <w:bidi w:val="0"/>
              <w:spacing w:before="0" w:after="283"/>
              <w:jc w:val="left"/>
              <w:rPr/>
            </w:pPr>
            <w:r>
              <w:rPr/>
              <w:t>No by default. A low-severity concern may be deferred by explicit override with a reason; a high-severity one never can</w:t>
            </w:r>
          </w:p>
        </w:tc>
      </w:tr>
      <w:tr>
        <w:trPr/>
        <w:tc>
          <w:tcPr>
            <w:tcW w:w="850" w:type="dxa"/>
            <w:tcBorders/>
            <w:vAlign w:val="center"/>
          </w:tcPr>
          <w:p>
            <w:pPr>
              <w:pStyle w:val="TableContents"/>
              <w:bidi w:val="0"/>
              <w:spacing w:before="0" w:after="283"/>
              <w:jc w:val="left"/>
              <w:rPr/>
            </w:pPr>
            <w:r>
              <w:rPr/>
              <w:t>OD-09</w:t>
            </w:r>
          </w:p>
        </w:tc>
        <w:tc>
          <w:tcPr>
            <w:tcW w:w="3376" w:type="dxa"/>
            <w:tcBorders/>
            <w:vAlign w:val="center"/>
          </w:tcPr>
          <w:p>
            <w:pPr>
              <w:pStyle w:val="TableContents"/>
              <w:bidi w:val="0"/>
              <w:spacing w:before="0" w:after="283"/>
              <w:jc w:val="left"/>
              <w:rPr/>
            </w:pPr>
            <w:r>
              <w:rPr/>
              <w:t>What happens to an offline session log that no longer validates when it finally syncs?</w:t>
            </w:r>
          </w:p>
        </w:tc>
        <w:tc>
          <w:tcPr>
            <w:tcW w:w="7113" w:type="dxa"/>
            <w:tcBorders/>
            <w:vAlign w:val="center"/>
          </w:tcPr>
          <w:p>
            <w:pPr>
              <w:pStyle w:val="TableContents"/>
              <w:bidi w:val="0"/>
              <w:spacing w:before="0" w:after="283"/>
              <w:jc w:val="left"/>
              <w:rPr/>
            </w:pPr>
            <w:r>
              <w:rPr/>
              <w:t>Retained and shown to the mentor for resolution. Never silently discarded, and never accepted retroactively against a paused placement</w:t>
            </w:r>
          </w:p>
        </w:tc>
      </w:tr>
      <w:tr>
        <w:trPr/>
        <w:tc>
          <w:tcPr>
            <w:tcW w:w="850" w:type="dxa"/>
            <w:tcBorders/>
            <w:vAlign w:val="center"/>
          </w:tcPr>
          <w:p>
            <w:pPr>
              <w:pStyle w:val="TableContents"/>
              <w:bidi w:val="0"/>
              <w:spacing w:before="0" w:after="283"/>
              <w:jc w:val="left"/>
              <w:rPr/>
            </w:pPr>
            <w:r>
              <w:rPr/>
              <w:t>OD-10</w:t>
            </w:r>
          </w:p>
        </w:tc>
        <w:tc>
          <w:tcPr>
            <w:tcW w:w="3376" w:type="dxa"/>
            <w:tcBorders/>
            <w:vAlign w:val="center"/>
          </w:tcPr>
          <w:p>
            <w:pPr>
              <w:pStyle w:val="TableContents"/>
              <w:bidi w:val="0"/>
              <w:spacing w:before="0" w:after="283"/>
              <w:jc w:val="left"/>
              <w:rPr/>
            </w:pPr>
            <w:r>
              <w:rPr/>
              <w:t>Should a placement time out if the student never confirms it?</w:t>
            </w:r>
          </w:p>
        </w:tc>
        <w:tc>
          <w:tcPr>
            <w:tcW w:w="7113" w:type="dxa"/>
            <w:tcBorders/>
            <w:vAlign w:val="center"/>
          </w:tcPr>
          <w:p>
            <w:pPr>
              <w:pStyle w:val="TableContents"/>
              <w:bidi w:val="0"/>
              <w:spacing w:before="0" w:after="283"/>
              <w:jc w:val="left"/>
              <w:rPr/>
            </w:pPr>
            <w:r>
              <w:rPr/>
              <w:t>No. It is flagged for human follow-up. Auto-withdrawing a real placement because an email failed to arrive is the worse error</w:t>
            </w:r>
          </w:p>
        </w:tc>
      </w:tr>
      <w:tr>
        <w:trPr/>
        <w:tc>
          <w:tcPr>
            <w:tcW w:w="850" w:type="dxa"/>
            <w:tcBorders/>
            <w:vAlign w:val="center"/>
          </w:tcPr>
          <w:p>
            <w:pPr>
              <w:pStyle w:val="TableContents"/>
              <w:bidi w:val="0"/>
              <w:spacing w:before="0" w:after="283"/>
              <w:jc w:val="left"/>
              <w:rPr/>
            </w:pPr>
            <w:r>
              <w:rPr/>
              <w:t>—</w:t>
            </w:r>
          </w:p>
        </w:tc>
        <w:tc>
          <w:tcPr>
            <w:tcW w:w="3376" w:type="dxa"/>
            <w:tcBorders/>
            <w:vAlign w:val="center"/>
          </w:tcPr>
          <w:p>
            <w:pPr>
              <w:pStyle w:val="TableContents"/>
              <w:bidi w:val="0"/>
              <w:spacing w:before="0" w:after="283"/>
              <w:jc w:val="left"/>
              <w:rPr/>
            </w:pPr>
            <w:r>
              <w:rPr/>
              <w:t>Are co-mentors supported (two mentors on one placement)?</w:t>
            </w:r>
          </w:p>
        </w:tc>
        <w:tc>
          <w:tcPr>
            <w:tcW w:w="7113" w:type="dxa"/>
            <w:tcBorders/>
            <w:vAlign w:val="center"/>
          </w:tcPr>
          <w:p>
            <w:pPr>
              <w:pStyle w:val="TableContents"/>
              <w:bidi w:val="0"/>
              <w:spacing w:before="0" w:after="283"/>
              <w:jc w:val="left"/>
              <w:rPr/>
            </w:pPr>
            <w:r>
              <w:rPr/>
              <w:t xml:space="preserve">Not in the MVP. Nothing in the source material establishes it, and the model preserves reassignment history without it. Straightforward to add later if wards actually work that way — </w:t>
            </w:r>
            <w:r>
              <w:rPr>
                <w:rStyle w:val="Strong"/>
              </w:rPr>
              <w:t>tell us if they do</w:t>
            </w:r>
          </w:p>
        </w:tc>
      </w:tr>
    </w:tbl>
    <w:p>
      <w:pPr>
        <w:pStyle w:val="HorizontalLine"/>
        <w:bidi w:val="0"/>
        <w:jc w:val="left"/>
        <w:rPr/>
      </w:pPr>
      <w:r>
        <w:rPr/>
      </w:r>
    </w:p>
    <w:p>
      <w:pPr>
        <w:pStyle w:val="Heading2"/>
        <w:bidi w:val="0"/>
        <w:jc w:val="left"/>
        <w:rPr/>
      </w:pPr>
      <w:r>
        <w:rPr/>
        <w:t>7. One Risk We Cannot Engineer Away</w:t>
      </w:r>
    </w:p>
    <w:p>
      <w:pPr>
        <w:pStyle w:val="BodyText"/>
        <w:bidi w:val="0"/>
        <w:jc w:val="left"/>
        <w:rPr/>
      </w:pPr>
      <w:r>
        <w:rPr/>
        <w:t>The system will not collect patient-identifiable data: there is no field anywhere in it for a patient name, phone number, or file number. That part is structural and we are confident in it.</w:t>
      </w:r>
    </w:p>
    <w:p>
      <w:pPr>
        <w:pStyle w:val="BodyText"/>
        <w:bidi w:val="0"/>
        <w:jc w:val="left"/>
        <w:rPr/>
      </w:pPr>
      <w:r>
        <w:rPr/>
        <w:t xml:space="preserve">What we cannot prevent is a mentor or student </w:t>
      </w:r>
      <w:r>
        <w:rPr>
          <w:rStyle w:val="Strong"/>
        </w:rPr>
        <w:t>typing</w:t>
      </w:r>
      <w:r>
        <w:rPr/>
        <w:t xml:space="preserve"> a patient's name into a free-text box — a session note, a concern description. We mitigate it with an instruction at the point of entry and restricted access to those fields, and reviewers can redact. But it is a residual risk, not a solved problem, and it should appear as such in the data-governance sign-off rather than being described as prevented.</w:t>
      </w:r>
    </w:p>
    <w:p>
      <w:pPr>
        <w:pStyle w:val="BodyText"/>
        <w:bidi w:val="0"/>
        <w:jc w:val="left"/>
        <w:rPr/>
      </w:pPr>
      <w:r>
        <w:rPr/>
        <w:t>If your governance process needs a stronger control than instruction-plus-redaction, tell us now: options include removing free text from the highest-risk fields altogether, or adding a pattern-based warning before submission. Both cost usability on a form that must stay under three minutes.</w:t>
      </w:r>
    </w:p>
    <w:p>
      <w:pPr>
        <w:pStyle w:val="HorizontalLine"/>
        <w:bidi w:val="0"/>
        <w:jc w:val="left"/>
        <w:rPr/>
      </w:pPr>
      <w:r>
        <w:rPr/>
      </w:r>
    </w:p>
    <w:p>
      <w:pPr>
        <w:pStyle w:val="Heading2"/>
        <w:bidi w:val="0"/>
        <w:jc w:val="left"/>
        <w:rPr/>
      </w:pPr>
      <w:r>
        <w:rPr/>
        <w:t>8. What Happens Next</w:t>
      </w:r>
    </w:p>
    <w:tbl>
      <w:tblPr>
        <w:tblW w:w="9857" w:type="dxa"/>
        <w:jc w:val="left"/>
        <w:tblInd w:w="0" w:type="dxa"/>
        <w:tblLayout w:type="fixed"/>
        <w:tblCellMar>
          <w:top w:w="28" w:type="dxa"/>
          <w:left w:w="28" w:type="dxa"/>
          <w:bottom w:w="28" w:type="dxa"/>
          <w:right w:w="28" w:type="dxa"/>
        </w:tblCellMar>
      </w:tblPr>
      <w:tblGrid>
        <w:gridCol w:w="4186"/>
        <w:gridCol w:w="5671"/>
      </w:tblGrid>
      <w:tr>
        <w:trPr>
          <w:tblHeader w:val="true"/>
        </w:trPr>
        <w:tc>
          <w:tcPr>
            <w:tcW w:w="4186" w:type="dxa"/>
            <w:tcBorders/>
            <w:vAlign w:val="center"/>
          </w:tcPr>
          <w:p>
            <w:pPr>
              <w:pStyle w:val="TableHeading"/>
              <w:suppressLineNumbers/>
              <w:shd w:fill="0D1B33" w:val="clear"/>
              <w:bidi w:val="0"/>
              <w:spacing w:before="0" w:after="283"/>
              <w:jc w:val="left"/>
              <w:rPr/>
            </w:pPr>
            <w:r>
              <w:rPr/>
              <w:t>Track</w:t>
            </w:r>
          </w:p>
        </w:tc>
        <w:tc>
          <w:tcPr>
            <w:tcW w:w="5671" w:type="dxa"/>
            <w:tcBorders/>
            <w:vAlign w:val="center"/>
          </w:tcPr>
          <w:p>
            <w:pPr>
              <w:pStyle w:val="TableHeading"/>
              <w:suppressLineNumbers/>
              <w:shd w:fill="0D1B33" w:val="clear"/>
              <w:bidi w:val="0"/>
              <w:spacing w:before="0" w:after="283"/>
              <w:jc w:val="left"/>
              <w:rPr/>
            </w:pPr>
            <w:r>
              <w:rPr/>
              <w:t>Status</w:t>
            </w:r>
          </w:p>
        </w:tc>
      </w:tr>
      <w:tr>
        <w:trPr/>
        <w:tc>
          <w:tcPr>
            <w:tcW w:w="4186" w:type="dxa"/>
            <w:tcBorders/>
            <w:vAlign w:val="center"/>
          </w:tcPr>
          <w:p>
            <w:pPr>
              <w:pStyle w:val="TableContents"/>
              <w:bidi w:val="0"/>
              <w:spacing w:before="0" w:after="283"/>
              <w:jc w:val="left"/>
              <w:rPr/>
            </w:pPr>
            <w:r>
              <w:rPr/>
              <w:t>Stage 4 — Module Architecture</w:t>
            </w:r>
          </w:p>
        </w:tc>
        <w:tc>
          <w:tcPr>
            <w:tcW w:w="5671" w:type="dxa"/>
            <w:tcBorders/>
            <w:vAlign w:val="center"/>
          </w:tcPr>
          <w:p>
            <w:pPr>
              <w:pStyle w:val="TableContents"/>
              <w:bidi w:val="0"/>
              <w:spacing w:before="0" w:after="283"/>
              <w:jc w:val="left"/>
              <w:rPr/>
            </w:pPr>
            <w:r>
              <w:rPr/>
              <w:t>Starting now; does not depend on any of these decisions</w:t>
            </w:r>
          </w:p>
        </w:tc>
      </w:tr>
      <w:tr>
        <w:trPr/>
        <w:tc>
          <w:tcPr>
            <w:tcW w:w="4186" w:type="dxa"/>
            <w:tcBorders/>
            <w:vAlign w:val="center"/>
          </w:tcPr>
          <w:p>
            <w:pPr>
              <w:pStyle w:val="TableContents"/>
              <w:bidi w:val="0"/>
              <w:spacing w:before="0" w:after="283"/>
              <w:jc w:val="left"/>
              <w:rPr/>
            </w:pPr>
            <w:r>
              <w:rPr/>
              <w:t>Stage 5 — Database Architecture</w:t>
            </w:r>
          </w:p>
        </w:tc>
        <w:tc>
          <w:tcPr>
            <w:tcW w:w="5671" w:type="dxa"/>
            <w:tcBorders/>
            <w:vAlign w:val="center"/>
          </w:tcPr>
          <w:p>
            <w:pPr>
              <w:pStyle w:val="TableContents"/>
              <w:bidi w:val="0"/>
              <w:spacing w:before="0" w:after="283"/>
              <w:jc w:val="left"/>
              <w:rPr/>
            </w:pPr>
            <w:r>
              <w:rPr/>
              <w:t xml:space="preserve">Blocked on </w:t>
            </w:r>
            <w:r>
              <w:rPr>
                <w:rStyle w:val="Strong"/>
              </w:rPr>
              <w:t>OD-01</w:t>
            </w:r>
            <w:r>
              <w:rPr/>
              <w:t xml:space="preserve"> (§4)</w:t>
            </w:r>
          </w:p>
        </w:tc>
      </w:tr>
      <w:tr>
        <w:trPr/>
        <w:tc>
          <w:tcPr>
            <w:tcW w:w="4186" w:type="dxa"/>
            <w:tcBorders/>
            <w:vAlign w:val="center"/>
          </w:tcPr>
          <w:p>
            <w:pPr>
              <w:pStyle w:val="TableContents"/>
              <w:bidi w:val="0"/>
              <w:spacing w:before="0" w:after="283"/>
              <w:jc w:val="left"/>
              <w:rPr/>
            </w:pPr>
            <w:r>
              <w:rPr/>
              <w:t>Consent wording &amp; data-governance sign-off</w:t>
            </w:r>
          </w:p>
        </w:tc>
        <w:tc>
          <w:tcPr>
            <w:tcW w:w="5671" w:type="dxa"/>
            <w:tcBorders/>
            <w:vAlign w:val="center"/>
          </w:tcPr>
          <w:p>
            <w:pPr>
              <w:pStyle w:val="TableContents"/>
              <w:bidi w:val="0"/>
              <w:spacing w:before="0" w:after="283"/>
              <w:jc w:val="left"/>
              <w:rPr/>
            </w:pPr>
            <w:r>
              <w:rPr/>
              <w:t xml:space="preserve">Blocked on </w:t>
            </w:r>
            <w:r>
              <w:rPr>
                <w:rStyle w:val="Strong"/>
              </w:rPr>
              <w:t>OD-03</w:t>
            </w:r>
            <w:r>
              <w:rPr/>
              <w:t xml:space="preserve"> and </w:t>
            </w:r>
            <w:r>
              <w:rPr>
                <w:rStyle w:val="Strong"/>
              </w:rPr>
              <w:t>OD-06</w:t>
            </w:r>
            <w:r>
              <w:rPr/>
              <w:t xml:space="preserve"> (§2, §3)</w:t>
            </w:r>
          </w:p>
        </w:tc>
      </w:tr>
      <w:tr>
        <w:trPr/>
        <w:tc>
          <w:tcPr>
            <w:tcW w:w="4186" w:type="dxa"/>
            <w:tcBorders/>
            <w:vAlign w:val="center"/>
          </w:tcPr>
          <w:p>
            <w:pPr>
              <w:pStyle w:val="TableContents"/>
              <w:bidi w:val="0"/>
              <w:spacing w:before="0" w:after="283"/>
              <w:jc w:val="left"/>
              <w:rPr/>
            </w:pPr>
            <w:r>
              <w:rPr/>
              <w:t>Pilot data collection</w:t>
            </w:r>
          </w:p>
        </w:tc>
        <w:tc>
          <w:tcPr>
            <w:tcW w:w="5671" w:type="dxa"/>
            <w:tcBorders/>
            <w:vAlign w:val="center"/>
          </w:tcPr>
          <w:p>
            <w:pPr>
              <w:pStyle w:val="TableContents"/>
              <w:bidi w:val="0"/>
              <w:spacing w:before="0" w:after="283"/>
              <w:jc w:val="left"/>
              <w:rPr/>
            </w:pPr>
            <w:r>
              <w:rPr/>
              <w:t>Blocked on consent sign-off</w:t>
            </w:r>
          </w:p>
        </w:tc>
      </w:tr>
      <w:tr>
        <w:trPr/>
        <w:tc>
          <w:tcPr>
            <w:tcW w:w="4186" w:type="dxa"/>
            <w:tcBorders/>
            <w:vAlign w:val="center"/>
          </w:tcPr>
          <w:p>
            <w:pPr>
              <w:pStyle w:val="TableContents"/>
              <w:bidi w:val="0"/>
              <w:spacing w:before="0" w:after="283"/>
              <w:jc w:val="left"/>
              <w:rPr/>
            </w:pPr>
            <w:r>
              <w:rPr/>
              <w:t>Stage 7 — UI/UX</w:t>
            </w:r>
          </w:p>
        </w:tc>
        <w:tc>
          <w:tcPr>
            <w:tcW w:w="5671" w:type="dxa"/>
            <w:tcBorders/>
            <w:vAlign w:val="center"/>
          </w:tcPr>
          <w:p>
            <w:pPr>
              <w:pStyle w:val="TableContents"/>
              <w:bidi w:val="0"/>
              <w:spacing w:before="0" w:after="283"/>
              <w:jc w:val="left"/>
              <w:rPr/>
            </w:pPr>
            <w:r>
              <w:rPr/>
              <w:t xml:space="preserve">Needs </w:t>
            </w:r>
            <w:r>
              <w:rPr>
                <w:rStyle w:val="Strong"/>
              </w:rPr>
              <w:t>OD-09</w:t>
            </w:r>
            <w:r>
              <w:rPr/>
              <w:t xml:space="preserve"> confirmed (already decided; flag if you disagree)</w:t>
            </w:r>
          </w:p>
        </w:tc>
      </w:tr>
    </w:tbl>
    <w:p>
      <w:pPr>
        <w:pStyle w:val="BodyText"/>
        <w:bidi w:val="0"/>
        <w:jc w:val="left"/>
        <w:rPr/>
      </w:pPr>
      <w:r>
        <w:rPr/>
        <w:t>We are happy to walk through §2 and §3 in a 30-minute call rather than by email — they are easier to settle in conversation, and both turn on judgement rather than fact.</w:t>
      </w:r>
    </w:p>
    <w:p>
      <w:pPr>
        <w:pStyle w:val="HorizontalLine"/>
        <w:bidi w:val="0"/>
        <w:jc w:val="left"/>
        <w:rPr/>
      </w:pPr>
      <w:r>
        <w:rPr/>
      </w:r>
    </w:p>
    <w:p>
      <w:pPr>
        <w:pStyle w:val="BodyText"/>
        <w:bidi w:val="0"/>
        <w:spacing w:before="0" w:after="283"/>
        <w:jc w:val="left"/>
        <w:rPr/>
      </w:pPr>
      <w:r>
        <w:rPr>
          <w:rStyle w:val="Emphasis"/>
        </w:rPr>
        <w:t>Prepared by Sinaps Technology for AfyaVentures / JHUB Africa / JKUAT School of Nursing. Confidential.</w:t>
      </w:r>
    </w:p>
    <w:sectPr>
      <w:type w:val="nextPage"/>
      <w:pgSz w:w="11906" w:h="16838"/>
      <w:pgMar w:left="907" w:right="907" w:gutter="0" w:header="0" w:top="1134" w:footer="0" w:bottom="1134"/>
      <w:pgNumType w:fmt="decimal"/>
      <w:formProt w:val="false"/>
      <w:textDirection w:val="lrTb"/>
      <w:docGrid w:type="default" w:linePitch="600" w:charSpace="4259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Helvetica Neue"/>
    <w:charset w:val="01"/>
    <w:family w:val="auto"/>
    <w:pitch w:val="default"/>
  </w:font>
  <w:font w:name="Manrope">
    <w:altName w:val="Inter"/>
    <w:charset w:val="01"/>
    <w:family w:val="auto"/>
    <w:pitch w:val="default"/>
  </w:font>
  <w:font w:name="JetBrains Mono">
    <w:altName w:val="DejaVu Sa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Inter;Helvetica Neue;Arial;sans-serif" w:hAnsi="Inter;Helvetica Neue;Arial;sans-serif" w:eastAsia="Inter;Helvetica Neue;Arial;sans-serif" w:cs="Inter;Helvetica Neue;Arial;sans-serif"/>
      <w:color w:val="0D1B33"/>
      <w:sz w:val="19"/>
      <w:szCs w:val="19"/>
      <w:lang w:val="en-US" w:eastAsia="zh-CN" w:bidi="hi-IN"/>
    </w:rPr>
  </w:style>
  <w:style w:type="paragraph" w:styleId="Heading1">
    <w:name w:val="Heading 1"/>
    <w:basedOn w:val="Heading"/>
    <w:next w:val="BodyText"/>
    <w:qFormat/>
    <w:pPr>
      <w:spacing w:lineRule="auto" w:line="300"/>
    </w:pPr>
    <w:rPr>
      <w:rFonts w:ascii="Manrope;Inter;Arial;sans-serif" w:hAnsi="Manrope;Inter;Arial;sans-serif" w:eastAsia="Manrope;Inter;Arial;sans-serif" w:cs="Manrope;Inter;Arial;sans-serif"/>
      <w:b/>
      <w:bCs/>
      <w:color w:val="0D1B33"/>
      <w:sz w:val="48"/>
      <w:szCs w:val="44"/>
    </w:rPr>
  </w:style>
  <w:style w:type="paragraph" w:styleId="Heading2">
    <w:name w:val="Heading 2"/>
    <w:basedOn w:val="Heading"/>
    <w:next w:val="BodyText"/>
    <w:qFormat/>
    <w:pPr>
      <w:spacing w:lineRule="auto" w:line="300" w:before="200" w:after="120"/>
      <w:outlineLvl w:val="1"/>
    </w:pPr>
    <w:rPr>
      <w:rFonts w:ascii="Manrope;Inter;Arial;sans-serif" w:hAnsi="Manrope;Inter;Arial;sans-serif" w:eastAsia="Manrope;Inter;Arial;sans-serif" w:cs="Manrope;Inter;Arial;sans-serif"/>
      <w:b/>
      <w:bCs/>
      <w:color w:val="0D1B33"/>
      <w:sz w:val="32"/>
      <w:szCs w:val="32"/>
    </w:rPr>
  </w:style>
  <w:style w:type="paragraph" w:styleId="Heading3">
    <w:name w:val="Heading 3"/>
    <w:basedOn w:val="Heading"/>
    <w:next w:val="BodyText"/>
    <w:qFormat/>
    <w:pPr>
      <w:keepNext w:val="true"/>
      <w:spacing w:lineRule="auto" w:line="300" w:before="140" w:after="120"/>
      <w:outlineLvl w:val="2"/>
    </w:pPr>
    <w:rPr>
      <w:rFonts w:ascii="Manrope;Inter;Arial;sans-serif" w:hAnsi="Manrope;Inter;Arial;sans-serif" w:eastAsia="Manrope;Inter;Arial;sans-serif" w:cs="Manrope;Inter;Arial;sans-serif"/>
      <w:b/>
      <w:bCs/>
      <w:color w:val="1D8C8C"/>
      <w:sz w:val="24"/>
      <w:szCs w:val="24"/>
    </w:rPr>
  </w:style>
  <w:style w:type="paragraph" w:styleId="Heading4">
    <w:name w:val="Heading 4"/>
    <w:basedOn w:val="Heading"/>
    <w:next w:val="BodyText"/>
    <w:qFormat/>
    <w:pPr>
      <w:keepNext w:val="true"/>
      <w:spacing w:lineRule="auto" w:line="300" w:before="120" w:after="120"/>
      <w:outlineLvl w:val="3"/>
    </w:pPr>
    <w:rPr>
      <w:rFonts w:ascii="Manrope;Inter;Arial;sans-serif" w:hAnsi="Manrope;Inter;Arial;sans-serif" w:eastAsia="Manrope;Inter;Arial;sans-serif" w:cs="Manrope;Inter;Arial;sans-serif"/>
      <w:b/>
      <w:bCs/>
      <w:color w:val="0D1B33"/>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JetBrains Mono;DejaVu Sans Mono;monospace" w:hAnsi="JetBrains Mono;DejaVu Sans Mono;monospace" w:eastAsia="JetBrains Mono;DejaVu Sans Mono;monospace" w:cs="JetBrains Mono;DejaVu Sans Mono;monospace"/>
    </w:rPr>
  </w:style>
  <w:style w:type="character" w:styleId="Emphasis">
    <w:name w:val="Emphasis"/>
    <w:qFormat/>
    <w:rPr>
      <w:i/>
      <w:iCs/>
      <w:color w:val="0D1B33"/>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code">
    <w:name w:val="Preformatted Text.code"/>
    <w:basedOn w:val="PreformattedText"/>
    <w:qFormat/>
    <w:pPr>
      <w:keepLines/>
      <w:pBdr/>
      <w:shd w:fill="0D1B33" w:val="clear"/>
    </w:pPr>
    <w:rPr>
      <w:color w:val="EAF2F4"/>
      <w:sz w:val="17"/>
      <w:szCs w:val="17"/>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0D1B33" w:val="clear"/>
      <w:jc w:val="left"/>
    </w:pPr>
    <w:rPr>
      <w:b/>
      <w:bCs/>
      <w:color w:val="FFFFFF"/>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