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5864067E" w14:textId="77777777">
      <w:pPr>
        <w:widowControl/>
        <w:rPr>
          <w:sz w:val="32"/>
          <w:szCs w:val="36"/>
        </w:rPr>
      </w:pPr>
      <w:r>
        <w:rPr>
          <w:rFonts w:ascii="맑은 고딕" w:hAnsi="맑은 고딕" w:eastAsia="맑은 고딕" w:cs="맑은 고딕" w:asciiTheme="minorHAnsi" w:hAnsiTheme="minorHAnsi" w:eastAsiaTheme="minorEastAsia" w:csTheme="minorBidi"/>
          <w:b/>
          <w:bCs/>
          <w:kern w:val="2"/>
          <w:sz w:val="32"/>
          <w:szCs w:val="36"/>
        </w:rPr>
        <w:t># Materials</w:t>
      </w:r>
    </w:p>
    <w:p w14:paraId="65B44E93" w14:textId="77777777">
      <w:pPr>
        <w:widowControl/>
        <w:rPr>
          <w:szCs w:val="22"/>
        </w:rPr>
      </w:pPr>
      <w:r>
        <w:rPr>
          <w:rFonts w:ascii="맑은 고딕" w:hAnsi="맑은 고딕" w:eastAsia="맑은 고딕" w:cs="맑은 고딕" w:asciiTheme="minorHAnsi" w:hAnsiTheme="minorHAnsi" w:eastAsiaTheme="minorEastAsia" w:csTheme="minorBidi"/>
          <w:kern w:val="2"/>
          <w:sz w:val="22"/>
          <w:szCs w:val="22"/>
        </w:rPr>
        <w:t>This retrospective cohort study comprised two independent institutional cohorts: an internal cohort from Gangnam Severance Hospital and an external cohort from Sinchon Severance Hospital. Because the two cohorts were drawn from different hospitals and different scanner populations, the model trained on the internal cohort was applied, without retraining, to the external cohort to assess external validity. CT examinations for both cohorts were performed between January 2018 and June 2020.</w:t>
      </w:r>
    </w:p>
    <w:p w14:paraId="50B91B64" w14:textId="77777777">
      <w:pPr>
        <w:widowControl/>
        <w:rPr>
          <w:szCs w:val="22"/>
        </w:rPr>
      </w:pPr>
      <w:r>
        <w:rPr>
          <w:rFonts w:ascii="맑은 고딕" w:hAnsi="맑은 고딕" w:eastAsia="맑은 고딕" w:cs="맑은 고딕" w:asciiTheme="minorHAnsi" w:hAnsiTheme="minorHAnsi" w:eastAsiaTheme="minorEastAsia" w:csTheme="minorBidi"/>
          <w:kern w:val="2"/>
          <w:sz w:val="22"/>
          <w:szCs w:val="22"/>
        </w:rPr>
        <w:t>Inclusion criteria were as follows:</w:t>
      </w:r>
    </w:p>
    <w:p w14:paraId="449B1B68" w14:textId="77777777">
      <w:pPr>
        <w:widowControl/>
        <w:ind w:left="440"/>
        <w:rPr>
          <w:szCs w:val="22"/>
        </w:rPr>
      </w:pPr>
      <w:r>
        <w:rPr>
          <w:rFonts w:ascii="맑은 고딕" w:hAnsi="맑은 고딕" w:eastAsia="맑은 고딕" w:cs="맑은 고딕" w:asciiTheme="minorHAnsi" w:hAnsiTheme="minorHAnsi" w:eastAsiaTheme="minorEastAsia" w:csTheme="minorBidi"/>
          <w:kern w:val="2"/>
          <w:sz w:val="22"/>
          <w:szCs w:val="22"/>
        </w:rPr>
        <w:t>1. Both clinical data and an abdominal CT examination were available for the same patient.</w:t>
      </w:r>
    </w:p>
    <w:p w14:paraId="0D773AA7" w14:textId="77777777">
      <w:pPr>
        <w:widowControl/>
        <w:ind w:left="440"/>
        <w:rPr>
          <w:szCs w:val="22"/>
        </w:rPr>
      </w:pPr>
      <w:r>
        <w:rPr>
          <w:rFonts w:ascii="맑은 고딕" w:hAnsi="맑은 고딕" w:eastAsia="맑은 고딕" w:cs="맑은 고딕" w:asciiTheme="minorHAnsi" w:hAnsiTheme="minorHAnsi" w:eastAsiaTheme="minorEastAsia" w:csTheme="minorBidi"/>
          <w:kern w:val="2"/>
          <w:sz w:val="22"/>
          <w:szCs w:val="22"/>
        </w:rPr>
        <w:t xml:space="preserve">2. Only CT examinations acquired at a tube voltage of 100 </w:t>
      </w:r>
      <w:r>
        <w:rPr>
          <w:rFonts w:ascii="맑은 고딕" w:hAnsi="맑은 고딕" w:eastAsia="맑은 고딕" w:cs="맑은 고딕" w:asciiTheme="minorHAnsi" w:hAnsiTheme="minorHAnsi" w:eastAsiaTheme="minorEastAsia" w:csTheme="minorBidi"/>
          <w:kern w:val="2"/>
          <w:sz w:val="22"/>
          <w:szCs w:val="22"/>
        </w:rPr>
        <w:t>kVp</w:t>
      </w:r>
      <w:r>
        <w:rPr>
          <w:rFonts w:ascii="맑은 고딕" w:hAnsi="맑은 고딕" w:eastAsia="맑은 고딕" w:cs="맑은 고딕" w:asciiTheme="minorHAnsi" w:hAnsiTheme="minorHAnsi" w:eastAsiaTheme="minorEastAsia" w:csTheme="minorBidi"/>
          <w:kern w:val="2"/>
          <w:sz w:val="22"/>
          <w:szCs w:val="22"/>
        </w:rPr>
        <w:t xml:space="preserve"> were included.</w:t>
      </w:r>
    </w:p>
    <w:p w14:paraId="3211D24A" w14:textId="77777777">
      <w:pPr>
        <w:widowControl/>
        <w:ind w:left="440"/>
        <w:rPr>
          <w:szCs w:val="22"/>
        </w:rPr>
      </w:pPr>
      <w:r>
        <w:rPr>
          <w:rFonts w:ascii="맑은 고딕" w:hAnsi="맑은 고딕" w:eastAsia="맑은 고딕" w:cs="맑은 고딕" w:asciiTheme="minorHAnsi" w:hAnsiTheme="minorHAnsi" w:eastAsiaTheme="minorEastAsia" w:csTheme="minorBidi"/>
          <w:kern w:val="2"/>
          <w:sz w:val="22"/>
          <w:szCs w:val="22"/>
        </w:rPr>
        <w:t>3. In the internal cohort only, patients were restricted to those scanned on the four most commonly used CT scanner models at that site: Siemens Sensation 64, GE Revolution CT, Philips Ingenuity Core 128, and Siemens SOMATOM Definition AS+. No such restriction was applied to the external cohort.</w:t>
      </w:r>
    </w:p>
    <w:p w14:paraId="24AE11F6" w14:textId="77777777">
      <w:pPr>
        <w:widowControl/>
        <w:rPr>
          <w:szCs w:val="22"/>
        </w:rPr>
      </w:pPr>
      <w:r>
        <w:rPr>
          <w:rFonts w:ascii="맑은 고딕" w:hAnsi="맑은 고딕" w:eastAsia="맑은 고딕" w:cs="맑은 고딕" w:asciiTheme="minorHAnsi" w:hAnsiTheme="minorHAnsi" w:eastAsiaTheme="minorEastAsia" w:csTheme="minorBidi"/>
          <w:kern w:val="2"/>
          <w:sz w:val="22"/>
          <w:szCs w:val="22"/>
        </w:rPr>
        <w:t>After application of these criteria, the final study population consisted of 1,090 patients in the internal cohort and 926 patients in the external cohort.</w:t>
      </w:r>
    </w:p>
    <w:p w14:paraId="58A6B808" w14:textId="77777777">
      <w:pPr>
        <w:widowControl/>
        <w:rPr>
          <w:szCs w:val="22"/>
        </w:rPr>
      </w:pPr>
      <w:r>
        <w:rPr>
          <w:rFonts w:ascii="맑은 고딕" w:hAnsi="맑은 고딕" w:eastAsia="맑은 고딕" w:cs="맑은 고딕" w:asciiTheme="minorHAnsi" w:hAnsiTheme="minorHAnsi" w:eastAsiaTheme="minorEastAsia" w:csTheme="minorBidi"/>
          <w:kern w:val="2"/>
          <w:sz w:val="22"/>
          <w:szCs w:val="22"/>
        </w:rPr>
        <w:t>Age, sex, height, and weight were abstracted from the same clinical database used for patient matching and served as the baseline clinical predictors, collectively termed clinic4. Outcomes were defined as the presence or absence of a documented diagnosis of hypertension (HTN), diabetes mellitus (DM), and chronic kidney disease (CKD) in the clinical database, rather than by dichotomizing a continuous laboratory measurement. Hypertension was present in 329 of 1,090 internal patients (30.2%) and 425 of 926 external patients (45.9%); diabetes mellitus in 204 internal patients (18.7%) and 285 external patients (30.8%); and chronic kidney disease in 83 internal patients (7.6%) and 168 external patients (18.1%).</w:t>
      </w:r>
    </w:p>
    <w:p w14:paraId="0098E4BB" w14:textId="77777777">
      <w:pPr>
        <w:widowControl/>
        <w:rPr>
          <w:szCs w:val="22"/>
        </w:rPr>
      </w:pPr>
      <w:r>
        <w:rPr>
          <w:rFonts w:ascii="맑은 고딕" w:hAnsi="맑은 고딕" w:eastAsia="맑은 고딕" w:cs="맑은 고딕" w:asciiTheme="minorHAnsi" w:hAnsiTheme="minorHAnsi" w:eastAsiaTheme="minorEastAsia" w:csTheme="minorBidi"/>
          <w:kern w:val="2"/>
          <w:sz w:val="22"/>
          <w:szCs w:val="22"/>
        </w:rPr>
        <w:t>Baseline characteristics of the internal and external cohorts are summarized in Table 1. There were no missing values for age, sex, height, weight, BMI, comorbidity, or scanner vendor in either cohort.</w:t>
      </w:r>
    </w:p>
    <w:p w14:paraId="048B9282" w14:textId="77777777">
      <w:pPr>
        <w:widowControl/>
        <w:rPr>
          <w:szCs w:val="22"/>
        </w:rPr>
      </w:pPr>
    </w:p>
    <w:p w14:paraId="7F181492" w14:textId="77777777">
      <w:pPr>
        <w:widowControl/>
        <w:rPr>
          <w:szCs w:val="22"/>
        </w:rPr>
      </w:pPr>
    </w:p>
    <w:p w14:paraId="79803E05" w14:textId="77777777">
      <w:pPr>
        <w:widowControl/>
        <w:rPr>
          <w:szCs w:val="22"/>
        </w:rPr>
      </w:pPr>
      <w:r>
        <w:lastRenderedPageBreak/>
        <w:rPr>
          <w:rFonts w:ascii="맑은 고딕" w:hAnsi="맑은 고딕" w:eastAsia="맑은 고딕" w:cs="맑은 고딕" w:asciiTheme="minorHAnsi" w:hAnsiTheme="minorHAnsi" w:eastAsiaTheme="minorEastAsia" w:csTheme="minorBidi"/>
          <w:b/>
          <w:bCs/>
          <w:kern w:val="2"/>
          <w:sz w:val="22"/>
          <w:szCs w:val="22"/>
        </w:rPr>
        <w:t>**Table 1. Baseline Characteristics of the Patients**</w:t>
      </w:r>
    </w:p>
    <w:tbl>
      <w:tblPr>
        <w:tblStyle w:val="aa"/>
        <w:tblpPr w:horzAnchor="margin" w:vertAnchor="text" w:tblpY="143" w:leftFromText="142" w:rightFromText="14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3241"/>
        <w:gridCol w:w="2212"/>
        <w:gridCol w:w="2197"/>
        <w:gridCol w:w="1366"/>
      </w:tblGrid>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E3BDB4" w14:textId="48CE3688">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Characteristic</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2B7D9F" w14:textId="77777777">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Internal cohort</w:t>
            </w:r>
          </w:p>
          <w:p w14:paraId="06F16FDF" w14:textId="4AB7D321">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(n = 1,090)</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785F6A" w14:textId="77777777">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External cohort</w:t>
            </w:r>
          </w:p>
          <w:p w14:paraId="775D6A71" w14:textId="68DAEB0E">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(n = 926)</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C9663D" w14:textId="3D280466">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p-value</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ABA7FB" w14:textId="3C274C52">
            <w:pPr>
              <w:widowControl/>
              <w:rPr>
                <w:szCs w:val="22"/>
              </w:rPr>
            </w:pPr>
            <w:r>
              <w:rPr>
                <w:rFonts w:ascii="맑은 고딕" w:hAnsi="맑은 고딕" w:eastAsia="맑은 고딕" w:cs="맑은 고딕" w:asciiTheme="minorHAnsi" w:hAnsiTheme="minorHAnsi" w:eastAsiaTheme="minorEastAsia" w:csTheme="minorBidi"/>
                <w:kern w:val="2"/>
                <w:sz w:val="22"/>
                <w:szCs w:val="22"/>
              </w:rPr>
              <w:t>Age, years, mean ± SD</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582C10" w14:textId="4593C029">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57.0 ± 12.2</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9F4086" w14:textId="5284E714">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59.5 ± 12.7</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7B1EF0" w14:textId="0EBD8E37">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&lt;0.001</w:t>
            </w:r>
          </w:p>
        </w:tc>
      </w:tr>
      <w:tr>
        <w:trPr>
          <w:trHeight w:val="360" w:hRule="atLeast"/>
        </w:trP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89F36">
            <w:r>
              <w:t>Age, years, range</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19AC1C">
            <w:r>
              <w:t>14-91</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57AD2E">
            <w:r>
              <w:t>19-90</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2D226D">
            <w:r>
              <w:t>&lt;0.001</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E93B0A" w14:textId="7A0FDC50">
            <w:pPr>
              <w:widowControl/>
              <w:rPr>
                <w:szCs w:val="22"/>
              </w:rPr>
            </w:pPr>
            <w:r>
              <w:rPr>
                <w:rFonts w:ascii="맑은 고딕" w:hAnsi="맑은 고딕" w:eastAsia="맑은 고딕" w:cs="맑은 고딕" w:asciiTheme="minorHAnsi" w:hAnsiTheme="minorHAnsi" w:eastAsiaTheme="minorEastAsia" w:csTheme="minorBidi"/>
                <w:kern w:val="2"/>
                <w:sz w:val="22"/>
                <w:szCs w:val="22"/>
              </w:rPr>
              <w:t>Sex, female, n (%)</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8AE206" w14:textId="542BEDA9">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700 (64.2)</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0DCF87" w14:textId="78A354BE">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498 (53.8)</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DF5597" w14:textId="08D91B32">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&lt;0.001</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298963" w14:textId="34EEAF02">
            <w:pPr>
              <w:widowControl/>
              <w:rPr>
                <w:szCs w:val="22"/>
              </w:rPr>
            </w:pPr>
            <w:r>
              <w:rPr>
                <w:rFonts w:ascii="맑은 고딕" w:hAnsi="맑은 고딕" w:eastAsia="맑은 고딕" w:cs="맑은 고딕" w:asciiTheme="minorHAnsi" w:hAnsiTheme="minorHAnsi" w:eastAsiaTheme="minorEastAsia" w:csTheme="minorBidi"/>
                <w:kern w:val="2"/>
                <w:sz w:val="22"/>
                <w:szCs w:val="22"/>
              </w:rPr>
              <w:t>Sex, male, n (%)</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8867FE" w14:textId="514B83C8">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390 (35.8)</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0A4A9F" w14:textId="09C2EFF6">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428 (46.2</w:t>
            </w:r>
            <w:r>
              <w:rPr>
                <w:rFonts w:ascii="맑은 고딕" w:hAnsi="맑은 고딕" w:eastAsia="맑은 고딕" w:cs="맑은 고딕" w:asciiTheme="minorHAnsi" w:hAnsiTheme="minorHAnsi" w:eastAsiaTheme="minorEastAsia" w:csTheme="minorBidi"/>
                <w:kern w:val="2"/>
                <w:sz w:val="22"/>
                <w:szCs w:val="22"/>
              </w:rPr>
              <w:t>)</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DD9D4F" w14:textId="0D5ED2A0">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&lt;0.001</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10709A" w14:textId="164999CA">
            <w:pPr>
              <w:widowControl/>
              <w:rPr>
                <w:szCs w:val="22"/>
              </w:rPr>
            </w:pPr>
            <w:r>
              <w:rPr>
                <w:rFonts w:ascii="맑은 고딕" w:hAnsi="맑은 고딕" w:eastAsia="맑은 고딕" w:cs="맑은 고딕" w:asciiTheme="minorHAnsi" w:hAnsiTheme="minorHAnsi" w:eastAsiaTheme="minorEastAsia" w:csTheme="minorBidi"/>
                <w:kern w:val="2"/>
                <w:sz w:val="22"/>
                <w:szCs w:val="22"/>
              </w:rPr>
              <w:t>Height, cm, mean ± SD</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BC625F" w14:textId="723C5F88">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162.2 ± 8.2</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168041" w14:textId="2591B05E">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162.5 ± 8.6</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42DF0E" w14:textId="127C36F7">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0.381</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D2D4C1" w14:textId="10730840">
            <w:pPr>
              <w:widowControl/>
              <w:rPr>
                <w:szCs w:val="22"/>
              </w:rPr>
            </w:pPr>
            <w:r>
              <w:rPr>
                <w:rFonts w:ascii="맑은 고딕" w:hAnsi="맑은 고딕" w:eastAsia="맑은 고딕" w:cs="맑은 고딕" w:asciiTheme="minorHAnsi" w:hAnsiTheme="minorHAnsi" w:eastAsiaTheme="minorEastAsia" w:csTheme="minorBidi"/>
                <w:kern w:val="2"/>
                <w:sz w:val="22"/>
                <w:szCs w:val="22"/>
              </w:rPr>
              <w:t>Weight, kg, mean ± SD</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38F483" w14:textId="1B79A8B9">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61.9 ± 10.6</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091DEE" w14:textId="446E59C8">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61.8 ± 11.4</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CE1338" w14:textId="513DBB25">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0.848</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9C84B2" w14:textId="4F22F84B">
            <w:pPr>
              <w:widowControl/>
              <w:rPr>
                <w:szCs w:val="22"/>
              </w:rPr>
            </w:pPr>
            <w:r>
              <w:rPr>
                <w:rFonts w:ascii="맑은 고딕" w:hAnsi="맑은 고딕" w:eastAsia="맑은 고딕" w:cs="맑은 고딕" w:asciiTheme="minorHAnsi" w:hAnsiTheme="minorHAnsi" w:eastAsiaTheme="minorEastAsia" w:csTheme="minorBidi"/>
                <w:kern w:val="2"/>
                <w:sz w:val="22"/>
                <w:szCs w:val="22"/>
              </w:rPr>
              <w:t>BMI, kg/m², mean ± SD</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9B6620" w14:textId="5368E155">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23.5 ± 3.1</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A99BB5" w14:textId="085FBBF3">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23.3 ± 3.4</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4C776E6" w14:textId="6E3651EE">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0.337</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4B4485" w14:textId="79F6CFBF">
            <w:pPr>
              <w:widowControl/>
              <w:rPr>
                <w:szCs w:val="22"/>
              </w:rPr>
            </w:pPr>
            <w:r>
              <w:rPr>
                <w:rFonts w:ascii="맑은 고딕" w:hAnsi="맑은 고딕" w:eastAsia="맑은 고딕" w:cs="맑은 고딕" w:asciiTheme="minorHAnsi" w:hAnsiTheme="minorHAnsi" w:eastAsiaTheme="minorEastAsia" w:csTheme="minorBidi"/>
                <w:kern w:val="2"/>
                <w:sz w:val="22"/>
                <w:szCs w:val="22"/>
              </w:rPr>
              <w:t>Hypertension, n (%)</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8906DC4" w14:textId="59E379A7">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329 (30.2)</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FF50A" w14:textId="52C97B8D">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425 (45.9)</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F82546" w14:textId="017C72DC">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&lt;0.001</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09C3C83" w14:textId="0FB4780C">
            <w:pPr>
              <w:widowControl/>
              <w:rPr>
                <w:szCs w:val="22"/>
              </w:rPr>
            </w:pPr>
            <w:r>
              <w:rPr>
                <w:rFonts w:ascii="맑은 고딕" w:hAnsi="맑은 고딕" w:eastAsia="맑은 고딕" w:cs="맑은 고딕" w:asciiTheme="minorHAnsi" w:hAnsiTheme="minorHAnsi" w:eastAsiaTheme="minorEastAsia" w:csTheme="minorBidi"/>
                <w:kern w:val="2"/>
                <w:sz w:val="22"/>
                <w:szCs w:val="22"/>
              </w:rPr>
              <w:t>Diabetes mellitus, n (%)</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CA1814" w14:textId="1E7F9FBC">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204 (18.7)</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0A6A5E" w14:textId="6A4F6788">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285 (30.8)</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9F78D7" w14:textId="7E4A3FBF">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&lt;0.001</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372DDC" w14:textId="58BA9556">
            <w:pPr>
              <w:widowControl/>
              <w:rPr>
                <w:szCs w:val="22"/>
              </w:rPr>
            </w:pPr>
            <w:r>
              <w:rPr>
                <w:rFonts w:ascii="맑은 고딕" w:hAnsi="맑은 고딕" w:eastAsia="맑은 고딕" w:cs="맑은 고딕" w:asciiTheme="minorHAnsi" w:hAnsiTheme="minorHAnsi" w:eastAsiaTheme="minorEastAsia" w:csTheme="minorBidi"/>
                <w:kern w:val="2"/>
                <w:sz w:val="22"/>
                <w:szCs w:val="22"/>
              </w:rPr>
              <w:t>Chronic kidney disease, n (%</w:t>
            </w:r>
            <w:r>
              <w:rPr>
                <w:rFonts w:ascii="맑은 고딕" w:hAnsi="맑은 고딕" w:eastAsia="맑은 고딕" w:cs="맑은 고딕" w:asciiTheme="minorHAnsi" w:hAnsiTheme="minorHAnsi" w:eastAsiaTheme="minorEastAsia" w:csTheme="minorBidi"/>
                <w:kern w:val="2"/>
                <w:sz w:val="22"/>
                <w:szCs w:val="22"/>
              </w:rPr>
              <w:t>)</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7042D" w14:textId="6B577363">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83 (7.6)</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97EF1E" w14:textId="20FD31B7">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168 (18.1)</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7BD114A" w14:textId="37F99EB4">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&lt;0.001</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9169DE" w14:textId="7043302A">
            <w:pPr>
              <w:widowControl/>
              <w:rPr>
                <w:szCs w:val="22"/>
              </w:rPr>
            </w:pPr>
            <w:r>
              <w:rPr>
                <w:rFonts w:ascii="맑은 고딕" w:hAnsi="맑은 고딕" w:eastAsia="맑은 고딕" w:cs="맑은 고딕" w:asciiTheme="minorHAnsi" w:hAnsiTheme="minorHAnsi" w:eastAsiaTheme="minorEastAsia" w:csTheme="minorBidi"/>
                <w:kern w:val="2"/>
                <w:sz w:val="22"/>
                <w:szCs w:val="22"/>
              </w:rPr>
              <w:t>CT scanner vendor, n (%)</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9726B8" w14:textId="1F4D1626">
            <w:pPr>
              <w:widowControl/>
              <w:jc w:val="center"/>
              <w:rPr>
                <w:szCs w:val="22"/>
              </w:rPr>
            </w:pP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B515BF" w14:textId="77777777">
            <w:pPr>
              <w:widowControl/>
              <w:jc w:val="center"/>
              <w:rPr>
                <w:szCs w:val="22"/>
              </w:rPr>
            </w:pP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0FFD01" w14:textId="70231D46">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&lt;0.001</w:t>
            </w: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FD6A50D" w14:textId="215B4805">
            <w:pPr>
              <w:widowControl/>
              <w:rPr>
                <w:szCs w:val="22"/>
              </w:rPr>
            </w:pPr>
            <w:r>
              <w:rPr>
                <w:rFonts w:ascii="맑은 고딕" w:hAnsi="맑은 고딕" w:eastAsia="맑은 고딕" w:cs="맑은 고딕" w:asciiTheme="minorHAnsi" w:hAnsiTheme="minorHAnsi" w:eastAsiaTheme="minorEastAsia" w:csTheme="minorBidi"/>
                <w:kern w:val="2"/>
                <w:sz w:val="22"/>
                <w:szCs w:val="22"/>
              </w:rPr>
              <w:t>— Siemens</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86DFBB" w14:textId="47E8298A">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568 (52.1)</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41D417" w14:textId="150C9C69">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569 (61.4)</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7230F3" w14:textId="77777777">
            <w:pPr>
              <w:widowControl/>
              <w:jc w:val="center"/>
              <w:rPr>
                <w:szCs w:val="22"/>
              </w:rPr>
            </w:pP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65F1BA" w14:textId="5C2F1A89">
            <w:pPr>
              <w:widowControl/>
              <w:rPr>
                <w:szCs w:val="22"/>
              </w:rPr>
            </w:pPr>
            <w:r>
              <w:rPr>
                <w:rFonts w:ascii="맑은 고딕" w:hAnsi="맑은 고딕" w:eastAsia="맑은 고딕" w:cs="맑은 고딕" w:asciiTheme="minorHAnsi" w:hAnsiTheme="minorHAnsi" w:eastAsiaTheme="minorEastAsia" w:csTheme="minorBidi"/>
                <w:kern w:val="2"/>
                <w:sz w:val="22"/>
                <w:szCs w:val="22"/>
              </w:rPr>
              <w:t>— GE</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F73805" w14:textId="64A9B651">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318 (29.2)</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2D14A6" w14:textId="010029B9">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219 (23.6)</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7DEF4E" w14:textId="77777777">
            <w:pPr>
              <w:widowControl/>
              <w:jc w:val="center"/>
              <w:rPr>
                <w:szCs w:val="22"/>
              </w:rPr>
            </w:pP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878294" w14:textId="490EC225">
            <w:pPr>
              <w:widowControl/>
              <w:rPr>
                <w:szCs w:val="22"/>
              </w:rPr>
            </w:pPr>
            <w:r>
              <w:rPr>
                <w:rFonts w:ascii="맑은 고딕" w:hAnsi="맑은 고딕" w:eastAsia="맑은 고딕" w:cs="맑은 고딕" w:asciiTheme="minorHAnsi" w:hAnsiTheme="minorHAnsi" w:eastAsiaTheme="minorEastAsia" w:csTheme="minorBidi"/>
                <w:kern w:val="2"/>
                <w:sz w:val="22"/>
                <w:szCs w:val="22"/>
              </w:rPr>
              <w:t>— Philips</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A9122D" w14:textId="270D0807">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202 (18.5)</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2B1AD8" w14:textId="3BBA3248">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135 (14.6)</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B1B540" w14:textId="77777777">
            <w:pPr>
              <w:widowControl/>
              <w:jc w:val="center"/>
              <w:rPr>
                <w:szCs w:val="22"/>
              </w:rPr>
            </w:pPr>
          </w:p>
        </w:tc>
      </w:tr>
      <w:tr>
        <w:tc>
          <w:tcPr>
            <w:tcW w:w="324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28FBEF" w14:textId="22C182FA">
            <w:pPr>
              <w:widowControl/>
              <w:rPr>
                <w:szCs w:val="22"/>
              </w:rPr>
            </w:pPr>
            <w:r>
              <w:rPr>
                <w:rFonts w:ascii="맑은 고딕" w:hAnsi="맑은 고딕" w:eastAsia="맑은 고딕" w:cs="맑은 고딕" w:asciiTheme="minorHAnsi" w:hAnsiTheme="minorHAnsi" w:eastAsiaTheme="minorEastAsia" w:csTheme="minorBidi"/>
                <w:kern w:val="2"/>
                <w:sz w:val="22"/>
                <w:szCs w:val="22"/>
              </w:rPr>
              <w:t>— Canon</w:t>
            </w:r>
          </w:p>
        </w:tc>
        <w:tc>
          <w:tcPr>
            <w:tcW w:w="221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5604BE" w14:textId="42D36CF5">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2 (0.2)</w:t>
            </w:r>
          </w:p>
        </w:tc>
        <w:tc>
          <w:tcPr>
            <w:tcW w:w="21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00F637" w14:textId="1BD7C6B0">
            <w:pPr>
              <w:widowControl/>
              <w:jc w:val="center"/>
              <w:rPr>
                <w:szCs w:val="22"/>
              </w:rPr>
            </w:pPr>
            <w:r>
              <w:rPr>
                <w:rFonts w:ascii="맑은 고딕" w:hAnsi="맑은 고딕" w:eastAsia="맑은 고딕" w:cs="맑은 고딕" w:asciiTheme="minorHAnsi" w:hAnsiTheme="minorHAnsi" w:eastAsiaTheme="minorEastAsia" w:csTheme="minorBidi"/>
                <w:kern w:val="2"/>
                <w:sz w:val="22"/>
                <w:szCs w:val="22"/>
              </w:rPr>
              <w:t>3 (0.3)</w:t>
            </w:r>
          </w:p>
        </w:tc>
        <w:tc>
          <w:tcPr>
            <w:tcW w:w="1366"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F28C4D" w14:textId="77777777">
            <w:pPr>
              <w:widowControl/>
              <w:jc w:val="center"/>
              <w:rPr>
                <w:szCs w:val="22"/>
              </w:rPr>
            </w:pPr>
          </w:p>
        </w:tc>
      </w:tr>
    </w:tbl>
    <w:p w14:paraId="4A0CD5CB" w14:textId="77777777">
      <w:pPr>
        <w:widowControl/>
        <w:rPr>
          <w:szCs w:val="22"/>
        </w:rPr>
      </w:pPr>
    </w:p>
    <w:p w14:paraId="6972A589" w14:textId="77777777">
      <w:pPr>
        <w:widowControl/>
        <w:rPr>
          <w:szCs w:val="22"/>
        </w:rPr>
      </w:pPr>
      <w:r>
        <w:rPr>
          <w:rFonts w:ascii="맑은 고딕" w:hAnsi="맑은 고딕" w:eastAsia="맑은 고딕" w:cs="맑은 고딕" w:asciiTheme="minorHAnsi" w:hAnsiTheme="minorHAnsi" w:eastAsiaTheme="minorEastAsia" w:csTheme="minorBidi"/>
          <w:kern w:val="2"/>
          <w:sz w:val="22"/>
          <w:szCs w:val="22"/>
        </w:rPr>
        <w:t xml:space="preserve">SD, standard deviation; BMI, body mass index. Continuous variables were compared with Welch's </w:t>
      </w:r>
      <w:r>
        <w:rPr>
          <w:rFonts w:ascii="맑은 고딕" w:hAnsi="맑은 고딕" w:eastAsia="맑은 고딕" w:cs="맑은 고딕" w:asciiTheme="minorHAnsi" w:hAnsiTheme="minorHAnsi" w:eastAsiaTheme="minorEastAsia" w:csTheme="minorBidi"/>
          <w:i/>
          <w:iCs/>
          <w:kern w:val="2"/>
          <w:sz w:val="22"/>
          <w:szCs w:val="22"/>
        </w:rPr>
        <w:t>*t*</w:t>
      </w:r>
      <w:r>
        <w:rPr>
          <w:rFonts w:ascii="맑은 고딕" w:hAnsi="맑은 고딕" w:eastAsia="맑은 고딕" w:cs="맑은 고딕" w:asciiTheme="minorHAnsi" w:hAnsiTheme="minorHAnsi" w:eastAsiaTheme="minorEastAsia" w:csTheme="minorBidi"/>
          <w:kern w:val="2"/>
          <w:sz w:val="22"/>
          <w:szCs w:val="22"/>
        </w:rPr>
        <w:t>-test; categorical variables were compared with the chi-square test.</w:t>
      </w:r>
    </w:p>
    <w:p w14:paraId="75E64C2D" w14:textId="77777777">
      <w:pPr>
        <w:widowControl/>
        <w:rPr>
          <w:szCs w:val="22"/>
        </w:rPr>
      </w:pPr>
      <w:r>
        <w:rPr>
          <w:rFonts w:ascii="맑은 고딕" w:hAnsi="맑은 고딕" w:eastAsia="맑은 고딕" w:cs="맑은 고딕" w:asciiTheme="minorHAnsi" w:hAnsiTheme="minorHAnsi" w:eastAsiaTheme="minorEastAsia" w:csTheme="minorBidi"/>
          <w:kern w:val="2"/>
          <w:sz w:val="22"/>
          <w:szCs w:val="22"/>
        </w:rPr>
        <w:t xml:space="preserve">During each abdominal CT acquisition, </w:t>
      </w:r>
      <w:r>
        <w:rPr>
          <w:rFonts w:ascii="맑은 고딕" w:hAnsi="맑은 고딕" w:eastAsia="맑은 고딕" w:cs="맑은 고딕" w:asciiTheme="minorHAnsi" w:hAnsiTheme="minorHAnsi" w:eastAsiaTheme="minorEastAsia" w:csTheme="minorBidi"/>
          <w:b/>
          <w:bCs/>
          <w:kern w:val="2"/>
          <w:sz w:val="22"/>
          <w:szCs w:val="22"/>
        </w:rPr>
        <w:t>**automatic exposure control (AEC)**</w:t>
      </w:r>
      <w:r>
        <w:rPr>
          <w:rFonts w:ascii="맑은 고딕" w:hAnsi="맑은 고딕" w:eastAsia="맑은 고딕" w:cs="맑은 고딕" w:asciiTheme="minorHAnsi" w:hAnsiTheme="minorHAnsi" w:eastAsiaTheme="minorEastAsia" w:csTheme="minorBidi"/>
          <w:kern w:val="2"/>
          <w:sz w:val="22"/>
          <w:szCs w:val="22"/>
        </w:rPr>
        <w:t xml:space="preserve"> modulates the tube current (mA) along the craniocaudal (z) axis to maintain a constant image noise level; the resulting tube-current modulation curve reflects the patient's cross-sectional attenuation, and hence body habitus, at each slice position. In this study, a fixed-length, 128-point representation of this curve (AEC-128) was used as the imaging-derived predictor.</w:t>
      </w:r>
    </w:p>
    <w:p w14:paraId="1F0549C5" w14:textId="77777777">
      <w:pPr>
        <w:widowControl/>
        <w:rPr>
          <w:szCs w:val="22"/>
        </w:rPr>
      </w:pPr>
    </w:p>
    <w:p w14:paraId="0E622FF0" w14:textId="77777777">
      <w:pPr>
        <w:pageBreakBefore/>
        <w:widowControl/>
        <w:rPr>
          <w:b/>
          <w:bCs/>
          <w:sz w:val="32"/>
          <w:szCs w:val="32"/>
        </w:rPr>
      </w:pPr>
      <w:r>
        <w:lastRenderedPageBreak/>
        <w:rPr>
          <w:b/>
          <w:bCs/>
          <w:sz w:val="32"/>
          <w:szCs w:val="32"/>
        </w:rPr>
      </w:r>
    </w:p>
    <w:p w14:paraId="777BF6F1" w14:textId="1129DF24">
      <w:pPr>
        <w:widowControl/>
        <w:rPr>
          <w:szCs w:val="22"/>
        </w:rPr>
      </w:pPr>
      <w:r>
        <w:lastRenderedPageBreak/>
        <w:rPr>
          <w:rFonts w:ascii="맑은 고딕" w:hAnsi="맑은 고딕" w:eastAsia="맑은 고딕" w:cs="맑은 고딕" w:asciiTheme="minorHAnsi" w:hAnsiTheme="minorHAnsi" w:eastAsiaTheme="minorEastAsia" w:csTheme="minorBidi"/>
          <w:b/>
          <w:bCs/>
          <w:kern w:val="2"/>
          <w:sz w:val="32"/>
          <w:szCs w:val="32"/>
        </w:rPr>
        <w:t>Method</w:t>
      </w:r>
    </w:p>
    <w:p w14:paraId="69BD64D3" w14:textId="25E03FF7">
      <w:pPr>
        <w:widowControl/>
        <w:rPr>
          <w:sz w:val="24"/>
        </w:rPr>
      </w:pPr>
      <w:r>
        <w:rPr>
          <w:rFonts w:ascii="맑은 고딕" w:hAnsi="맑은 고딕" w:eastAsia="맑은 고딕" w:cs="맑은 고딕" w:asciiTheme="minorHAnsi" w:hAnsiTheme="minorHAnsi" w:eastAsiaTheme="minorEastAsia" w:csTheme="minorBidi"/>
          <w:kern w:val="2"/>
          <w:sz w:val="24"/>
          <w:szCs w:val="24"/>
        </w:rPr>
        <w:t>AEC-128 Curve Construction</w:t>
      </w:r>
    </w:p>
    <w:p w14:paraId="09CF81BE" w14:textId="77777777">
      <w:pPr>
        <w:widowControl/>
        <w:rPr>
          <w:szCs w:val="22"/>
        </w:rPr>
      </w:pPr>
      <w:r>
        <w:rPr>
          <w:rFonts w:ascii="맑은 고딕" w:hAnsi="맑은 고딕" w:eastAsia="맑은 고딕" w:cs="맑은 고딕" w:asciiTheme="minorHAnsi" w:hAnsiTheme="minorHAnsi" w:eastAsiaTheme="minorEastAsia" w:csTheme="minorBidi"/>
          <w:kern w:val="2"/>
          <w:sz w:val="22"/>
          <w:szCs w:val="22"/>
        </w:rPr>
        <w:t xml:space="preserve">To construct the fixed-length AEC-128 feature, the axial source series was first identified for each patient, excluding coronal/sagittal reformations, scout images, and dose reports, based on slice count, DICOM </w:t>
      </w:r>
      <w:r>
        <w:rPr>
          <w:rFonts w:ascii="맑은 고딕" w:hAnsi="맑은 고딕" w:eastAsia="맑은 고딕" w:cs="맑은 고딕" w:asciiTheme="minorHAnsi" w:hAnsiTheme="minorHAnsi" w:eastAsiaTheme="minorEastAsia" w:csTheme="minorBidi"/>
          <w:kern w:val="2"/>
          <w:sz w:val="22"/>
          <w:szCs w:val="22"/>
        </w:rPr>
        <w:t>ImageType</w:t>
      </w:r>
      <w:r>
        <w:rPr>
          <w:rFonts w:ascii="맑은 고딕" w:hAnsi="맑은 고딕" w:eastAsia="맑은 고딕" w:cs="맑은 고딕" w:asciiTheme="minorHAnsi" w:hAnsiTheme="minorHAnsi" w:eastAsiaTheme="minorEastAsia" w:csTheme="minorBidi"/>
          <w:kern w:val="2"/>
          <w:sz w:val="22"/>
          <w:szCs w:val="22"/>
        </w:rPr>
        <w:t xml:space="preserve">, </w:t>
      </w:r>
      <w:r>
        <w:rPr>
          <w:rFonts w:ascii="맑은 고딕" w:hAnsi="맑은 고딕" w:eastAsia="맑은 고딕" w:cs="맑은 고딕" w:asciiTheme="minorHAnsi" w:hAnsiTheme="minorHAnsi" w:eastAsiaTheme="minorEastAsia" w:csTheme="minorBidi"/>
          <w:kern w:val="2"/>
          <w:sz w:val="22"/>
          <w:szCs w:val="22"/>
        </w:rPr>
        <w:t>SeriesDescription</w:t>
      </w:r>
      <w:r>
        <w:rPr>
          <w:rFonts w:ascii="맑은 고딕" w:hAnsi="맑은 고딕" w:eastAsia="맑은 고딕" w:cs="맑은 고딕" w:asciiTheme="minorHAnsi" w:hAnsiTheme="minorHAnsi" w:eastAsiaTheme="minorEastAsia" w:csTheme="minorBidi"/>
          <w:kern w:val="2"/>
          <w:sz w:val="22"/>
          <w:szCs w:val="22"/>
        </w:rPr>
        <w:t>, and image orientation. An open-source, deep-learning-based segmentation tool (</w:t>
      </w:r>
      <w:r>
        <w:rPr>
          <w:rFonts w:ascii="맑은 고딕" w:hAnsi="맑은 고딕" w:eastAsia="맑은 고딕" w:cs="맑은 고딕" w:asciiTheme="minorHAnsi" w:hAnsiTheme="minorHAnsi" w:eastAsiaTheme="minorEastAsia" w:csTheme="minorBidi"/>
          <w:kern w:val="2"/>
          <w:sz w:val="22"/>
          <w:szCs w:val="22"/>
        </w:rPr>
        <w:t>TotalSegmentator</w:t>
      </w:r>
      <w:r>
        <w:rPr>
          <w:rFonts w:ascii="맑은 고딕" w:hAnsi="맑은 고딕" w:eastAsia="맑은 고딕" w:cs="맑은 고딕" w:asciiTheme="minorHAnsi" w:hAnsiTheme="minorHAnsi" w:eastAsiaTheme="minorEastAsia" w:csTheme="minorBidi"/>
          <w:kern w:val="2"/>
          <w:sz w:val="22"/>
          <w:szCs w:val="22"/>
        </w:rPr>
        <w:t>) was then applied to localize the liver and the bilateral hip bones, with the cranial-most liver slice and caudal-most hip slice defining the upper and lower boundaries of the analysis range; segmentation was used solely for this anatomical landmark localization, while tube-current values themselves were obtained directly from the DICOM header (</w:t>
      </w:r>
      <w:r>
        <w:rPr>
          <w:rFonts w:ascii="맑은 고딕" w:hAnsi="맑은 고딕" w:eastAsia="맑은 고딕" w:cs="맑은 고딕" w:asciiTheme="minorHAnsi" w:hAnsiTheme="minorHAnsi" w:eastAsiaTheme="minorEastAsia" w:csTheme="minorBidi"/>
          <w:kern w:val="2"/>
          <w:sz w:val="22"/>
          <w:szCs w:val="22"/>
        </w:rPr>
        <w:t>XRayTubeCurrent</w:t>
      </w:r>
      <w:r>
        <w:rPr>
          <w:rFonts w:ascii="맑은 고딕" w:hAnsi="맑은 고딕" w:eastAsia="맑은 고딕" w:cs="맑은 고딕" w:asciiTheme="minorHAnsi" w:hAnsiTheme="minorHAnsi" w:eastAsiaTheme="minorEastAsia" w:csTheme="minorBidi"/>
          <w:kern w:val="2"/>
          <w:sz w:val="22"/>
          <w:szCs w:val="22"/>
        </w:rPr>
        <w:t>). Tube-current values within this pubis-to-liver range were extracted in craniocaudal order, and because the resulting slice count varied across patients from 101 to 238 slices, each sequence was resampled by linear interpolation to a fixed length of 128 points, yielding the AEC-128 curve used as the analytic unit in subsequent modeling.</w:t>
      </w:r>
    </w:p>
    <w:p w14:paraId="78B0FA36" w14:textId="77777777">
      <w:pPr>
        <w:widowControl/>
        <w:rPr>
          <w:szCs w:val="22"/>
        </w:rPr>
      </w:pPr>
    </w:p>
    <w:p w14:paraId="15DCFFD0" w14:textId="77777777">
      <w:pPr>
        <w:pageBreakBefore/>
        <w:widowControl/>
        <w:rPr>
          <w:sz w:val="32"/>
          <w:szCs w:val="36"/>
        </w:rPr>
      </w:pPr>
      <w:r>
        <w:lastRenderedPageBreak/>
        <w:rPr>
          <w:sz w:val="32"/>
          <w:szCs w:val="36"/>
        </w:rPr>
      </w:r>
    </w:p>
    <w:p w14:paraId="221C989E" w14:textId="700BF5AE">
      <w:pPr>
        <w:rPr>
          <w:sz w:val="32"/>
          <w:szCs w:val="36"/>
        </w:rPr>
      </w:pPr>
      <w:r>
        <w:lastRenderedPageBreak/>
        <w:rPr>
          <w:rFonts w:ascii="맑은 고딕" w:hAnsi="맑은 고딕" w:eastAsia="맑은 고딕" w:cs="맑은 고딕" w:asciiTheme="minorHAnsi" w:hAnsiTheme="minorHAnsi" w:eastAsiaTheme="minorEastAsia" w:csTheme="minorBidi"/>
          <w:kern w:val="2"/>
          <w:sz w:val="32"/>
          <w:szCs w:val="36"/>
        </w:rPr>
        <w:t>Material</w:t>
      </w:r>
      <w:r>
        <w:rPr>
          <w:rFonts w:ascii="맑은 고딕" w:hAnsi="맑은 고딕" w:eastAsia="맑은 고딕" w:cs="맑은 고딕" w:asciiTheme="minorHAnsi" w:hAnsiTheme="minorHAnsi" w:eastAsiaTheme="minorEastAsia" w:csTheme="minorBidi"/>
          <w:kern w:val="2"/>
          <w:sz w:val="32"/>
          <w:szCs w:val="36"/>
        </w:rPr>
        <w:t xml:space="preserve"> </w:t>
      </w:r>
      <w:r>
        <w:rPr>
          <w:rFonts w:ascii="맑은 고딕" w:hAnsi="맑은 고딕" w:eastAsia="맑은 고딕" w:cs="맑은 고딕" w:asciiTheme="minorHAnsi" w:hAnsiTheme="minorHAnsi" w:eastAsiaTheme="minorEastAsia" w:csTheme="minorBidi"/>
          <w:kern w:val="2"/>
          <w:sz w:val="32"/>
          <w:szCs w:val="36"/>
        </w:rPr>
        <w:t>(Dataset)</w:t>
      </w:r>
    </w:p>
    <w:p w14:paraId="2A2C0872" w14:textId="521C7DFC">
      <w:r>
        <w:rPr>
          <w:rFonts w:ascii="맑은 고딕" w:hAnsi="맑은 고딕" w:eastAsia="맑은 고딕" w:cs="맑은 고딕" w:asciiTheme="minorHAnsi" w:hAnsiTheme="minorHAnsi" w:eastAsiaTheme="minorEastAsia" w:csTheme="minorBidi"/>
          <w:kern w:val="2"/>
          <w:sz w:val="22"/>
          <w:szCs w:val="24"/>
        </w:rPr>
        <w:t>This retrospective cohort study analyzed the individuals who were regularly followed up for COPD management at 2 teaching hospitals (</w:t>
      </w:r>
      <w:r>
        <w:rPr>
          <w:rFonts w:ascii="맑은 고딕" w:hAnsi="맑은 고딕" w:eastAsia="맑은 고딕" w:cs="맑은 고딕" w:asciiTheme="minorHAnsi" w:hAnsiTheme="minorHAnsi" w:eastAsiaTheme="minorEastAsia" w:csTheme="minorBidi"/>
          <w:kern w:val="2"/>
          <w:sz w:val="22"/>
          <w:szCs w:val="24"/>
        </w:rPr>
        <w:t>Borame</w:t>
      </w:r>
      <w:r>
        <w:rPr>
          <w:rFonts w:ascii="맑은 고딕" w:hAnsi="맑은 고딕" w:eastAsia="맑은 고딕" w:cs="맑은 고딕" w:asciiTheme="minorHAnsi" w:hAnsiTheme="minorHAnsi" w:eastAsiaTheme="minorEastAsia" w:csTheme="minorBidi"/>
          <w:kern w:val="2"/>
          <w:sz w:val="22"/>
          <w:szCs w:val="24"/>
        </w:rPr>
        <w:t xml:space="preserve"> Medical Center [BRMH] and Seoul National University Hospital [SNUH]) from January 2004 to December 2020. We included the patients with COPD who (1) had chronic respiratory symptoms including dyspnea, sputum, and cough; (2) performed postbronchodilator spirometry with an FEV</w:t>
      </w:r>
      <w:r>
        <w:rPr>
          <w:rFonts w:ascii="맑은 고딕" w:hAnsi="맑은 고딕" w:eastAsia="맑은 고딕" w:cs="맑은 고딕" w:asciiTheme="minorHAnsi" w:hAnsiTheme="minorHAnsi" w:eastAsiaTheme="minorEastAsia" w:csTheme="minorBidi"/>
          <w:kern w:val="2"/>
          <w:sz w:val="22"/>
          <w:szCs w:val="24"/>
          <w:vertAlign w:val="subscript"/>
        </w:rPr>
        <w:t>1</w:t>
      </w:r>
      <w:r>
        <w:rPr>
          <w:rFonts w:ascii="맑은 고딕" w:hAnsi="맑은 고딕" w:eastAsia="맑은 고딕" w:cs="맑은 고딕" w:asciiTheme="minorHAnsi" w:hAnsiTheme="minorHAnsi" w:eastAsiaTheme="minorEastAsia" w:csTheme="minorBidi"/>
          <w:kern w:val="2"/>
          <w:sz w:val="22"/>
          <w:szCs w:val="24"/>
        </w:rPr>
        <w:t xml:space="preserve">/forced vital capacity (FVC) ratio of less than 0.7; (3) visited the outpatient clinic at least annually; and (4) had medical records regarding AE events in the past and during follow-up. Exclusion criteria included the presence of acute pulmonary conditions at baseline, such as pneumonia, acute pulmonary edema, or pulmonary embolism. Patients with interstitial lung disease, including idiopathic pulmonary fibrosis and connective tissue disease-associated interstitial lung disease, were excluded. </w:t>
      </w:r>
      <w:r>
        <w:rPr>
          <w:rFonts w:ascii="맑은 고딕" w:hAnsi="맑은 고딕" w:eastAsia="맑은 고딕" w:cs="맑은 고딕" w:asciiTheme="minorHAnsi" w:hAnsiTheme="minorHAnsi" w:eastAsiaTheme="minorEastAsia" w:csTheme="minorBidi"/>
          <w:kern w:val="2"/>
          <w:sz w:val="22"/>
          <w:szCs w:val="24"/>
        </w:rPr>
        <w:t>In addition, patients with active malignancies (</w:t>
      </w:r>
      <w:r>
        <w:rPr>
          <w:rFonts w:ascii="맑은 고딕" w:hAnsi="맑은 고딕" w:eastAsia="맑은 고딕" w:cs="맑은 고딕" w:asciiTheme="minorHAnsi" w:hAnsiTheme="minorHAnsi" w:eastAsiaTheme="minorEastAsia" w:csTheme="minorBidi"/>
          <w:kern w:val="2"/>
          <w:sz w:val="22"/>
          <w:szCs w:val="24"/>
        </w:rPr>
        <w:t>eg</w:t>
      </w:r>
      <w:r>
        <w:rPr>
          <w:rFonts w:ascii="맑은 고딕" w:hAnsi="맑은 고딕" w:eastAsia="맑은 고딕" w:cs="맑은 고딕" w:asciiTheme="minorHAnsi" w:hAnsiTheme="minorHAnsi" w:eastAsiaTheme="minorEastAsia" w:csTheme="minorBidi"/>
          <w:kern w:val="2"/>
          <w:sz w:val="22"/>
          <w:szCs w:val="24"/>
        </w:rPr>
        <w:t xml:space="preserve">, lung cancer, metastatic solid tumors, and hematologic malignancies) and </w:t>
      </w:r>
      <w:r>
        <w:rPr>
          <w:rFonts w:ascii="맑은 고딕" w:hAnsi="맑은 고딕" w:eastAsia="맑은 고딕" w:cs="맑은 고딕" w:asciiTheme="minorHAnsi" w:hAnsiTheme="minorHAnsi" w:eastAsiaTheme="minorEastAsia" w:csTheme="minorBidi"/>
          <w:kern w:val="2"/>
          <w:sz w:val="22"/>
          <w:szCs w:val="24"/>
        </w:rPr>
        <w:t>thos</w:t>
      </w:r>
      <w:r>
        <w:rPr>
          <w:rFonts w:ascii="맑은 고딕" w:hAnsi="맑은 고딕" w:eastAsia="맑은 고딕" w:cs="맑은 고딕" w:asciiTheme="minorHAnsi" w:hAnsiTheme="minorHAnsi" w:eastAsiaTheme="minorEastAsia" w:csTheme="minorBidi"/>
          <w:kern w:val="2"/>
          <w:sz w:val="22"/>
          <w:szCs w:val="24"/>
        </w:rPr>
        <w:t xml:space="preserve"> with severe </w:t>
      </w:r>
      <w:r>
        <w:rPr>
          <w:rFonts w:ascii="맑은 고딕" w:hAnsi="맑은 고딕" w:eastAsia="맑은 고딕" w:cs="맑은 고딕" w:asciiTheme="minorHAnsi" w:hAnsiTheme="minorHAnsi" w:eastAsiaTheme="minorEastAsia" w:csTheme="minorBidi"/>
          <w:kern w:val="2"/>
          <w:sz w:val="22"/>
          <w:szCs w:val="24"/>
        </w:rPr>
        <w:t>nonpulmonary</w:t>
      </w:r>
      <w:r>
        <w:rPr>
          <w:rFonts w:ascii="맑은 고딕" w:hAnsi="맑은 고딕" w:eastAsia="맑은 고딕" w:cs="맑은 고딕" w:asciiTheme="minorHAnsi" w:hAnsiTheme="minorHAnsi" w:eastAsiaTheme="minorEastAsia" w:csTheme="minorBidi"/>
          <w:kern w:val="2"/>
          <w:sz w:val="22"/>
          <w:szCs w:val="24"/>
        </w:rPr>
        <w:t xml:space="preserve"> comorbidities (</w:t>
      </w:r>
      <w:r>
        <w:rPr>
          <w:rFonts w:ascii="맑은 고딕" w:hAnsi="맑은 고딕" w:eastAsia="맑은 고딕" w:cs="맑은 고딕" w:asciiTheme="minorHAnsi" w:hAnsiTheme="minorHAnsi" w:eastAsiaTheme="minorEastAsia" w:csTheme="minorBidi"/>
          <w:kern w:val="2"/>
          <w:sz w:val="22"/>
          <w:szCs w:val="24"/>
        </w:rPr>
        <w:t>eg</w:t>
      </w:r>
      <w:r>
        <w:rPr>
          <w:rFonts w:ascii="맑은 고딕" w:hAnsi="맑은 고딕" w:eastAsia="맑은 고딕" w:cs="맑은 고딕" w:asciiTheme="minorHAnsi" w:hAnsiTheme="minorHAnsi" w:eastAsiaTheme="minorEastAsia" w:csTheme="minorBidi"/>
          <w:kern w:val="2"/>
          <w:sz w:val="22"/>
          <w:szCs w:val="24"/>
        </w:rPr>
        <w:t>, end-stage renal disease, end</w:t>
      </w:r>
      <w:r>
        <w:rPr>
          <w:rFonts w:ascii="맑은 고딕" w:hAnsi="맑은 고딕" w:eastAsia="맑은 고딕" w:cs="맑은 고딕" w:asciiTheme="minorHAnsi" w:hAnsiTheme="minorHAnsi" w:eastAsiaTheme="minorEastAsia" w:csTheme="minorBidi"/>
          <w:kern w:val="2"/>
          <w:sz w:val="22"/>
          <w:szCs w:val="24"/>
        </w:rPr>
        <w:t>-stage heart failure, decompensated liver cirrhosis, and neuromuscular disorders affecting respiratory function) were excluded.</w:t>
      </w:r>
    </w:p>
    <w:sectPr>
      <w:pgSz w:w="11906" w:h="16838"/>
      <w:pgMar w:top="1701" w:right="1440" w:bottom="1440" w:left="1440" w:header="851" w:footer="992"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EFA"/>
    <w:rsid w:val="00033E05"/>
    <w:rsid w:val="002A46D4"/>
    <w:rsid w:val="00307AA5"/>
    <w:rsid w:val="003415E4"/>
    <w:rsid w:val="003A2EFA"/>
    <w:rsid w:val="008944EC"/>
    <w:rsid w:val="009A2A66"/>
    <w:rsid w:val="00D94499"/>
    <w:rsid w:val="00FB2FB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A7334"/>
  <w15:chartTrackingRefBased/>
  <w15:docId w15:val="{B958ED9A-EEA0-4D11-9FC6-37EAB2B3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3A2EF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3A2EF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3A2EF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3A2EF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3A2EF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3A2EF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3A2EF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3A2EF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3A2EF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3A2EF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3A2EF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3A2EF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3A2EF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3A2EF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3A2EF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3A2EF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3A2EF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3A2EF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3A2EF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3A2EF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A2EF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3A2EF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3A2EFA"/>
    <w:pPr>
      <w:spacing w:before="160"/>
      <w:jc w:val="center"/>
    </w:pPr>
    <w:rPr>
      <w:i/>
      <w:iCs/>
      <w:color w:val="404040" w:themeColor="text1" w:themeTint="BF"/>
    </w:rPr>
  </w:style>
  <w:style w:type="character" w:customStyle="1" w:styleId="Char1">
    <w:name w:val="인용 Char"/>
    <w:basedOn w:val="a0"/>
    <w:link w:val="a5"/>
    <w:uiPriority w:val="29"/>
    <w:rsid w:val="003A2EFA"/>
    <w:rPr>
      <w:i/>
      <w:iCs/>
      <w:color w:val="404040" w:themeColor="text1" w:themeTint="BF"/>
    </w:rPr>
  </w:style>
  <w:style w:type="paragraph" w:styleId="a6">
    <w:name w:val="List Paragraph"/>
    <w:basedOn w:val="a"/>
    <w:uiPriority w:val="34"/>
    <w:qFormat/>
    <w:rsid w:val="003A2EFA"/>
    <w:pPr>
      <w:ind w:left="720"/>
      <w:contextualSpacing/>
    </w:pPr>
  </w:style>
  <w:style w:type="character" w:styleId="a7">
    <w:name w:val="Intense Emphasis"/>
    <w:basedOn w:val="a0"/>
    <w:uiPriority w:val="21"/>
    <w:qFormat/>
    <w:rsid w:val="003A2EFA"/>
    <w:rPr>
      <w:i/>
      <w:iCs/>
      <w:color w:val="2F5496" w:themeColor="accent1" w:themeShade="BF"/>
    </w:rPr>
  </w:style>
  <w:style w:type="paragraph" w:styleId="a8">
    <w:name w:val="Intense Quote"/>
    <w:basedOn w:val="a"/>
    <w:next w:val="a"/>
    <w:link w:val="Char2"/>
    <w:uiPriority w:val="30"/>
    <w:qFormat/>
    <w:rsid w:val="003A2E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3A2EFA"/>
    <w:rPr>
      <w:i/>
      <w:iCs/>
      <w:color w:val="2F5496" w:themeColor="accent1" w:themeShade="BF"/>
    </w:rPr>
  </w:style>
  <w:style w:type="character" w:styleId="a9">
    <w:name w:val="Intense Reference"/>
    <w:basedOn w:val="a0"/>
    <w:uiPriority w:val="32"/>
    <w:qFormat/>
    <w:rsid w:val="003A2EFA"/>
    <w:rPr>
      <w:b/>
      <w:bCs/>
      <w:smallCaps/>
      <w:color w:val="2F5496" w:themeColor="accent1" w:themeShade="BF"/>
      <w:spacing w:val="5"/>
    </w:rPr>
  </w:style>
  <w:style w:type="table" w:styleId="aa">
    <w:name w:val="Table Grid"/>
    <w:basedOn w:val="a1"/>
    <w:uiPriority w:val="39"/>
    <w:rsid w:val="002A46D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358CC5-9D22-4D94-A3DB-7779705E3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4</Pages>
  <Words>865</Words>
  <Characters>4934</Characters>
  <Application>Microsoft Office Word</Application>
  <DocSecurity>0</DocSecurity>
  <Lines>41</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전장훈</dc:creator>
  <cp:keywords/>
  <dc:description/>
  <cp:lastModifiedBy>전장훈</cp:lastModifiedBy>
  <cp:revision>1</cp:revision>
  <dcterms:created xsi:type="dcterms:W3CDTF">2026-08-14T02:40:00Z</dcterms:created>
  <dcterms:modified xsi:type="dcterms:W3CDTF">2026-08-14T06:32:01.633Z</dcterms:modified>
</cp:coreProperties>
</file>