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D7FA4" w14:textId="1CBC808A" w:rsidR="009A2A66" w:rsidRDefault="00980CD3">
      <w:r w:rsidRPr="00980CD3">
        <w:t>Materials and Methods</w:t>
      </w:r>
      <w:r w:rsidRPr="00980CD3">
        <w:br/>
        <w:t>This retrospective study was approved by the Institutional Ethics</w:t>
      </w:r>
      <w:r>
        <w:rPr>
          <w:rFonts w:hint="eastAsia"/>
        </w:rPr>
        <w:t xml:space="preserve"> </w:t>
      </w:r>
      <w:r w:rsidRPr="00980CD3">
        <w:t>Committee (institutional review board no. KBSMC 2022–04–028), and the requirement for informed consent was waived.</w:t>
      </w:r>
    </w:p>
    <w:p w14:paraId="6CDFAD5F" w14:textId="77777777" w:rsidR="00980CD3" w:rsidRDefault="00980CD3"/>
    <w:p w14:paraId="2F7DE88A" w14:textId="4C088B65" w:rsidR="00980CD3" w:rsidRDefault="00980CD3">
      <w:r w:rsidRPr="00980CD3">
        <w:t>Patients</w:t>
      </w:r>
      <w:r w:rsidRPr="00980CD3">
        <w:br/>
        <w:t xml:space="preserve">In this study, a subset of patients from the </w:t>
      </w:r>
      <w:proofErr w:type="spellStart"/>
      <w:r w:rsidRPr="00980CD3">
        <w:t>Kangbuk</w:t>
      </w:r>
      <w:proofErr w:type="spellEnd"/>
      <w:r w:rsidRPr="00980CD3">
        <w:t xml:space="preserve"> Samsung</w:t>
      </w:r>
      <w:r>
        <w:rPr>
          <w:rFonts w:hint="eastAsia"/>
        </w:rPr>
        <w:t xml:space="preserve"> </w:t>
      </w:r>
      <w:r w:rsidRPr="00980CD3">
        <w:t>Health Study, a prospective cohort study involving Korean</w:t>
      </w:r>
      <w:r>
        <w:rPr>
          <w:rFonts w:hint="eastAsia"/>
        </w:rPr>
        <w:t xml:space="preserve"> </w:t>
      </w:r>
      <w:r w:rsidRPr="00980CD3">
        <w:t>adults who are primarily company employees and their spouses</w:t>
      </w:r>
      <w:r>
        <w:rPr>
          <w:rFonts w:hint="eastAsia"/>
        </w:rPr>
        <w:t xml:space="preserve"> </w:t>
      </w:r>
      <w:r w:rsidRPr="00980CD3">
        <w:t>and who are undergoing health screening as per South Korea’s</w:t>
      </w:r>
      <w:r>
        <w:rPr>
          <w:rFonts w:hint="eastAsia"/>
        </w:rPr>
        <w:t xml:space="preserve"> </w:t>
      </w:r>
      <w:r w:rsidRPr="00980CD3">
        <w:t>Industrial Safety and Health Law was analyzed. Inclusion criteria</w:t>
      </w:r>
      <w:r>
        <w:rPr>
          <w:rFonts w:hint="eastAsia"/>
        </w:rPr>
        <w:t xml:space="preserve"> </w:t>
      </w:r>
      <w:r w:rsidRPr="00980CD3">
        <w:t>included those who underwent fluorine 18 (18F) fluorodeoxyglucose (FDG) PET/CT between 2012 and 2015 as part of a comprehensive health examination (see Appendix S1 for exclusion</w:t>
      </w:r>
      <w:r>
        <w:rPr>
          <w:rFonts w:hint="eastAsia"/>
        </w:rPr>
        <w:t xml:space="preserve"> </w:t>
      </w:r>
      <w:r w:rsidRPr="00980CD3">
        <w:t>criteria details). Despite debates over the role of 18F-FDG PET/CT in health screening due to radiation exposure and costs, this</w:t>
      </w:r>
      <w:r>
        <w:rPr>
          <w:rFonts w:hint="eastAsia"/>
        </w:rPr>
        <w:t xml:space="preserve"> </w:t>
      </w:r>
      <w:r w:rsidRPr="00980CD3">
        <w:t>examination is performed for cancer screening in Korea.</w:t>
      </w:r>
    </w:p>
    <w:p w14:paraId="522780A8" w14:textId="77777777" w:rsidR="00980CD3" w:rsidRDefault="00980CD3"/>
    <w:p w14:paraId="464C375C" w14:textId="02CC9B1D" w:rsidR="00980CD3" w:rsidRDefault="00980CD3">
      <w:r w:rsidRPr="00980CD3">
        <w:t>Measurements</w:t>
      </w:r>
      <w:r w:rsidRPr="00980CD3">
        <w:br/>
        <w:t xml:space="preserve">PET/CT image </w:t>
      </w:r>
      <w:proofErr w:type="gramStart"/>
      <w:r w:rsidRPr="00980CD3">
        <w:t>acquisition.—</w:t>
      </w:r>
      <w:proofErr w:type="gramEnd"/>
      <w:r w:rsidRPr="00980CD3">
        <w:t>After a minimum 8-hour fast,</w:t>
      </w:r>
      <w:r>
        <w:rPr>
          <w:rFonts w:hint="eastAsia"/>
        </w:rPr>
        <w:t xml:space="preserve"> </w:t>
      </w:r>
      <w:r w:rsidRPr="00980CD3">
        <w:t>torso 18F-FDG PET/CT scans were obtained using a PET/CT</w:t>
      </w:r>
      <w:r>
        <w:rPr>
          <w:rFonts w:hint="eastAsia"/>
        </w:rPr>
        <w:t xml:space="preserve"> </w:t>
      </w:r>
      <w:r w:rsidRPr="00980CD3">
        <w:t>system (Discovery 600; GE HealthCare) without the use of contrast materials. Information on imaging acquisition parameters</w:t>
      </w:r>
      <w:r>
        <w:rPr>
          <w:rFonts w:hint="eastAsia"/>
        </w:rPr>
        <w:t xml:space="preserve"> </w:t>
      </w:r>
      <w:r w:rsidRPr="00980CD3">
        <w:t>is presented in Appendix S1.</w:t>
      </w:r>
    </w:p>
    <w:p w14:paraId="13BEA66A" w14:textId="77777777" w:rsidR="00980CD3" w:rsidRDefault="00980CD3">
      <w:r w:rsidRPr="00980CD3">
        <w:t xml:space="preserve">Body composition, liver, and abdominal aorta calcification </w:t>
      </w:r>
      <w:proofErr w:type="gramStart"/>
      <w:r w:rsidRPr="00980CD3">
        <w:t>analysis.—</w:t>
      </w:r>
      <w:proofErr w:type="spellStart"/>
      <w:proofErr w:type="gramEnd"/>
      <w:r w:rsidRPr="00980CD3">
        <w:t>Noncontrast</w:t>
      </w:r>
      <w:proofErr w:type="spellEnd"/>
      <w:r w:rsidRPr="00980CD3">
        <w:t xml:space="preserve"> torso CT images from the PET/CT acquisition were processed using U.S. Food and Drug</w:t>
      </w:r>
      <w:r>
        <w:rPr>
          <w:rFonts w:hint="eastAsia"/>
        </w:rPr>
        <w:t xml:space="preserve"> </w:t>
      </w:r>
      <w:r w:rsidRPr="00980CD3">
        <w:t>Administration–approved commercial software (version 1.2.0.0,</w:t>
      </w:r>
      <w:r>
        <w:rPr>
          <w:rFonts w:hint="eastAsia"/>
        </w:rPr>
        <w:t xml:space="preserve"> </w:t>
      </w:r>
      <w:proofErr w:type="spellStart"/>
      <w:r w:rsidRPr="00980CD3">
        <w:t>DeepCatch</w:t>
      </w:r>
      <w:proofErr w:type="spellEnd"/>
      <w:r w:rsidRPr="00980CD3">
        <w:t>, Medical IP; http://www.medicalip.com) (Appen-dix S1, Fig S2) to measure the sectional areas (in centimeters</w:t>
      </w:r>
      <w:r>
        <w:rPr>
          <w:rFonts w:hint="eastAsia"/>
        </w:rPr>
        <w:t xml:space="preserve"> </w:t>
      </w:r>
      <w:r w:rsidRPr="00980CD3">
        <w:t>squared) of skeletal muscle, subcutaneous fat, and visceral fat,</w:t>
      </w:r>
      <w:r>
        <w:rPr>
          <w:rFonts w:hint="eastAsia"/>
        </w:rPr>
        <w:t xml:space="preserve"> </w:t>
      </w:r>
      <w:r w:rsidRPr="00980CD3">
        <w:t>normalized to height (in meters squared), as indexes. This study</w:t>
      </w:r>
      <w:r>
        <w:rPr>
          <w:rFonts w:hint="eastAsia"/>
        </w:rPr>
        <w:t xml:space="preserve"> </w:t>
      </w:r>
      <w:r w:rsidRPr="00980CD3">
        <w:t>focused on these areas, as well as the visceral-to-subcutaneous</w:t>
      </w:r>
      <w:r>
        <w:rPr>
          <w:rFonts w:hint="eastAsia"/>
        </w:rPr>
        <w:t xml:space="preserve"> </w:t>
      </w:r>
      <w:r w:rsidRPr="00980CD3">
        <w:t>fat ratio, and the trabecular density at the L3 level, given their</w:t>
      </w:r>
      <w:r>
        <w:rPr>
          <w:rFonts w:hint="eastAsia"/>
        </w:rPr>
        <w:t xml:space="preserve"> </w:t>
      </w:r>
      <w:r w:rsidRPr="00980CD3">
        <w:t>strong predictive value for overall mortality (16). Additionally,</w:t>
      </w:r>
      <w:r>
        <w:rPr>
          <w:rFonts w:hint="eastAsia"/>
        </w:rPr>
        <w:t xml:space="preserve"> </w:t>
      </w:r>
      <w:r w:rsidRPr="00980CD3">
        <w:t>the software automatically calculated the volumetric liver density</w:t>
      </w:r>
      <w:r>
        <w:rPr>
          <w:rFonts w:hint="eastAsia"/>
        </w:rPr>
        <w:t xml:space="preserve"> </w:t>
      </w:r>
      <w:r w:rsidRPr="00980CD3">
        <w:t>and estimated MR proton density fat fraction (PDFF) values</w:t>
      </w:r>
      <w:r>
        <w:rPr>
          <w:rFonts w:hint="eastAsia"/>
        </w:rPr>
        <w:t xml:space="preserve"> </w:t>
      </w:r>
      <w:r w:rsidRPr="00980CD3">
        <w:t>of the liver based on a deep learning–based image synthesis of</w:t>
      </w:r>
      <w:r>
        <w:rPr>
          <w:rFonts w:hint="eastAsia"/>
        </w:rPr>
        <w:t xml:space="preserve"> </w:t>
      </w:r>
      <w:r w:rsidRPr="00980CD3">
        <w:t>MRI PDFF from CT images (Appendix S1). Aortic calcification</w:t>
      </w:r>
      <w:r>
        <w:rPr>
          <w:rFonts w:hint="eastAsia"/>
        </w:rPr>
        <w:t xml:space="preserve"> </w:t>
      </w:r>
      <w:r w:rsidRPr="00980CD3">
        <w:t>was calculated based on the Agatston calcium score for all aortic</w:t>
      </w:r>
      <w:r>
        <w:rPr>
          <w:rFonts w:hint="eastAsia"/>
        </w:rPr>
        <w:t xml:space="preserve"> </w:t>
      </w:r>
      <w:r w:rsidRPr="00980CD3">
        <w:t>regions on the patient’s CT images.</w:t>
      </w:r>
    </w:p>
    <w:p w14:paraId="27F09008" w14:textId="77777777" w:rsidR="00980CD3" w:rsidRDefault="00980CD3">
      <w:r w:rsidRPr="00980CD3">
        <w:lastRenderedPageBreak/>
        <w:br/>
        <w:t xml:space="preserve">Definition of diabetes and other </w:t>
      </w:r>
      <w:proofErr w:type="gramStart"/>
      <w:r w:rsidRPr="00980CD3">
        <w:t>variables.—</w:t>
      </w:r>
      <w:proofErr w:type="gramEnd"/>
      <w:r w:rsidRPr="00980CD3">
        <w:t>Data encompassing physical measurements, abdominal US findings, and serum</w:t>
      </w:r>
      <w:r>
        <w:rPr>
          <w:rFonts w:hint="eastAsia"/>
        </w:rPr>
        <w:t xml:space="preserve"> </w:t>
      </w:r>
      <w:r w:rsidRPr="00980CD3">
        <w:t>biochemical measurements were systematically collected before 18F-FDG PET/CT imaging was performed as part of the</w:t>
      </w:r>
      <w:r>
        <w:rPr>
          <w:rFonts w:hint="eastAsia"/>
        </w:rPr>
        <w:t xml:space="preserve"> </w:t>
      </w:r>
      <w:r w:rsidRPr="00980CD3">
        <w:t>health screening program. Demographic characteristics, health</w:t>
      </w:r>
      <w:r>
        <w:rPr>
          <w:rFonts w:hint="eastAsia"/>
        </w:rPr>
        <w:t xml:space="preserve"> </w:t>
      </w:r>
      <w:r w:rsidRPr="00980CD3">
        <w:t>behaviors (smoking, alcohol consumption, and physical activity), medical history, and medication use were assessed by using</w:t>
      </w:r>
      <w:r>
        <w:rPr>
          <w:rFonts w:hint="eastAsia"/>
        </w:rPr>
        <w:t xml:space="preserve"> </w:t>
      </w:r>
      <w:r w:rsidRPr="00980CD3">
        <w:t>standardized self-administered questionnaires (Appendix S1).</w:t>
      </w:r>
    </w:p>
    <w:p w14:paraId="79FCE227" w14:textId="77777777" w:rsidR="00980CD3" w:rsidRDefault="00980CD3">
      <w:r w:rsidRPr="00980CD3">
        <w:t>Blood samples obtained after 10 hours of fasting included</w:t>
      </w:r>
      <w:r>
        <w:rPr>
          <w:rFonts w:hint="eastAsia"/>
        </w:rPr>
        <w:t xml:space="preserve"> </w:t>
      </w:r>
      <w:r w:rsidRPr="00980CD3">
        <w:t>measurements of glucose level, hemoglobin A1c level, and</w:t>
      </w:r>
      <w:r>
        <w:rPr>
          <w:rFonts w:hint="eastAsia"/>
        </w:rPr>
        <w:t xml:space="preserve"> </w:t>
      </w:r>
      <w:r w:rsidRPr="00980CD3">
        <w:t>lipid profiles. Type 2 DM was defined as having one or more</w:t>
      </w:r>
      <w:r>
        <w:rPr>
          <w:rFonts w:hint="eastAsia"/>
        </w:rPr>
        <w:t xml:space="preserve"> </w:t>
      </w:r>
      <w:r w:rsidRPr="00980CD3">
        <w:t>of the following: a fasting serum glucose level of 126 mg/</w:t>
      </w:r>
      <w:proofErr w:type="gramStart"/>
      <w:r w:rsidRPr="00980CD3">
        <w:t>dL(</w:t>
      </w:r>
      <w:proofErr w:type="gramEnd"/>
      <w:r w:rsidRPr="00980CD3">
        <w:t xml:space="preserve">7.0 mmol/L) or greater, hemoglobin A1c level 6.5% or </w:t>
      </w:r>
      <w:proofErr w:type="gramStart"/>
      <w:r w:rsidRPr="00980CD3">
        <w:t>greater(</w:t>
      </w:r>
      <w:proofErr w:type="gramEnd"/>
      <w:r w:rsidRPr="00980CD3">
        <w:t>≥ 48 mmol/mol), or current use of insulin or glucose-lowering</w:t>
      </w:r>
      <w:r>
        <w:rPr>
          <w:rFonts w:hint="eastAsia"/>
        </w:rPr>
        <w:t xml:space="preserve"> </w:t>
      </w:r>
      <w:r w:rsidRPr="00980CD3">
        <w:t>medications for diabetes management. Metabolic syndrome and</w:t>
      </w:r>
      <w:r>
        <w:rPr>
          <w:rFonts w:hint="eastAsia"/>
        </w:rPr>
        <w:t xml:space="preserve"> </w:t>
      </w:r>
      <w:r w:rsidRPr="00980CD3">
        <w:t>sarcopenia, assessed with impedance analysis, were defined using</w:t>
      </w:r>
      <w:r>
        <w:rPr>
          <w:rFonts w:hint="eastAsia"/>
        </w:rPr>
        <w:t xml:space="preserve"> </w:t>
      </w:r>
      <w:r w:rsidRPr="00980CD3">
        <w:t>standard criteria (Appendix S1) (17–19). The CAC score based</w:t>
      </w:r>
      <w:r>
        <w:rPr>
          <w:rFonts w:hint="eastAsia"/>
        </w:rPr>
        <w:t xml:space="preserve"> </w:t>
      </w:r>
      <w:r w:rsidRPr="00980CD3">
        <w:t>on CAC CT was categorized as 0–100 or greater than 100, with</w:t>
      </w:r>
      <w:r>
        <w:rPr>
          <w:rFonts w:hint="eastAsia"/>
        </w:rPr>
        <w:t xml:space="preserve"> </w:t>
      </w:r>
      <w:r w:rsidRPr="00980CD3">
        <w:t>scores above 100 indicating a critical threshold for statin eligibility (Appendix S1) (20,21).</w:t>
      </w:r>
    </w:p>
    <w:p w14:paraId="3E0F129C" w14:textId="77777777" w:rsidR="00980CD3" w:rsidRDefault="00980CD3">
      <w:r w:rsidRPr="00980CD3">
        <w:br/>
        <w:t>Statistical Analysis</w:t>
      </w:r>
      <w:r w:rsidRPr="00980CD3">
        <w:br/>
        <w:t>Descriptive statistics, including means ± SDs, percentages, and</w:t>
      </w:r>
      <w:r>
        <w:rPr>
          <w:rFonts w:hint="eastAsia"/>
        </w:rPr>
        <w:t xml:space="preserve"> </w:t>
      </w:r>
      <w:r w:rsidRPr="00980CD3">
        <w:t>medians and IQRs as appropriate, were used to summarize patient characteristics in the cross-sectional study based on the</w:t>
      </w:r>
      <w:r>
        <w:rPr>
          <w:rFonts w:hint="eastAsia"/>
        </w:rPr>
        <w:t xml:space="preserve"> </w:t>
      </w:r>
      <w:r w:rsidRPr="00980CD3">
        <w:t>prevalence of type 2 DM and the cohort study based on type 2</w:t>
      </w:r>
      <w:r>
        <w:rPr>
          <w:rFonts w:hint="eastAsia"/>
        </w:rPr>
        <w:t xml:space="preserve"> </w:t>
      </w:r>
      <w:r w:rsidRPr="00980CD3">
        <w:t>DM development among initially diabetes-free individuals. Robust Poisson regression models (22,23) were used to estimate the</w:t>
      </w:r>
      <w:r>
        <w:rPr>
          <w:rFonts w:hint="eastAsia"/>
        </w:rPr>
        <w:t xml:space="preserve"> </w:t>
      </w:r>
      <w:r w:rsidRPr="00980CD3">
        <w:t>prevalence ratios (and 95% CIs) for type 2 DM and each clinical</w:t>
      </w:r>
      <w:r>
        <w:rPr>
          <w:rFonts w:hint="eastAsia"/>
        </w:rPr>
        <w:t xml:space="preserve"> </w:t>
      </w:r>
      <w:r w:rsidRPr="00980CD3">
        <w:t>disease by comparing parameter quartiles with the lowest quartile as the reference, while Cox proportional hazard models were</w:t>
      </w:r>
      <w:r>
        <w:rPr>
          <w:rFonts w:hint="eastAsia"/>
        </w:rPr>
        <w:t xml:space="preserve"> </w:t>
      </w:r>
      <w:r w:rsidRPr="00980CD3">
        <w:t>used to determine the hazard ratios (and 95% CIs) for diabetes onset by comparing each of the three other quartiles of each</w:t>
      </w:r>
      <w:r>
        <w:rPr>
          <w:rFonts w:hint="eastAsia"/>
        </w:rPr>
        <w:t xml:space="preserve"> </w:t>
      </w:r>
      <w:r w:rsidRPr="00980CD3">
        <w:t>parameter against the reference category of the lowest quartile</w:t>
      </w:r>
      <w:r>
        <w:rPr>
          <w:rFonts w:hint="eastAsia"/>
        </w:rPr>
        <w:t xml:space="preserve"> </w:t>
      </w:r>
      <w:r w:rsidRPr="00980CD3">
        <w:t>(see details in Appendix S1). To assess the relationship between</w:t>
      </w:r>
      <w:r>
        <w:rPr>
          <w:rFonts w:hint="eastAsia"/>
        </w:rPr>
        <w:t xml:space="preserve"> </w:t>
      </w:r>
      <w:r w:rsidRPr="00980CD3">
        <w:t>CT-derived markers and diabetes risk, restricted cubic splines</w:t>
      </w:r>
      <w:r>
        <w:rPr>
          <w:rFonts w:hint="eastAsia"/>
        </w:rPr>
        <w:t xml:space="preserve"> </w:t>
      </w:r>
      <w:r w:rsidRPr="00980CD3">
        <w:t>with knots at the 5th, 27.5th, 50th, 72.5th, and 95th percentiles</w:t>
      </w:r>
      <w:r w:rsidRPr="00980CD3">
        <w:br/>
        <w:t>of the sample distribution were used to provide a flexible estimate of the concentration–response relationship between CT-derived markers and diabetes risk.</w:t>
      </w:r>
    </w:p>
    <w:p w14:paraId="5C9D04F7" w14:textId="691E61F5" w:rsidR="00980CD3" w:rsidRDefault="00980CD3">
      <w:pPr>
        <w:rPr>
          <w:rFonts w:hint="eastAsia"/>
        </w:rPr>
      </w:pPr>
      <w:r w:rsidRPr="00980CD3">
        <w:br/>
        <w:t>The performance of the imaging parameters in predicting diabetes and related cardiometabolic diseases relative to</w:t>
      </w:r>
      <w:r>
        <w:rPr>
          <w:rFonts w:hint="eastAsia"/>
        </w:rPr>
        <w:t xml:space="preserve"> </w:t>
      </w:r>
      <w:r w:rsidRPr="00980CD3">
        <w:t xml:space="preserve">standard or commonly used practical measures was </w:t>
      </w:r>
      <w:r w:rsidRPr="00980CD3">
        <w:lastRenderedPageBreak/>
        <w:t>assessed</w:t>
      </w:r>
      <w:r>
        <w:rPr>
          <w:rFonts w:hint="eastAsia"/>
        </w:rPr>
        <w:t xml:space="preserve"> </w:t>
      </w:r>
      <w:r w:rsidRPr="00980CD3">
        <w:t>by using the area under the receiver operating characteristic</w:t>
      </w:r>
      <w:r>
        <w:rPr>
          <w:rFonts w:hint="eastAsia"/>
        </w:rPr>
        <w:t xml:space="preserve"> </w:t>
      </w:r>
      <w:r w:rsidRPr="00980CD3">
        <w:t>curve (AUC). For the combination model incorporating multiple CT-derived measures, predicted probabilities for diabetes</w:t>
      </w:r>
      <w:r>
        <w:rPr>
          <w:rFonts w:hint="eastAsia"/>
        </w:rPr>
        <w:t xml:space="preserve"> </w:t>
      </w:r>
      <w:r w:rsidRPr="00980CD3">
        <w:t>were generated using software and the postestimation command “predict” after fitting multivariable logistic regression</w:t>
      </w:r>
      <w:r>
        <w:rPr>
          <w:rFonts w:hint="eastAsia"/>
        </w:rPr>
        <w:t xml:space="preserve"> </w:t>
      </w:r>
      <w:r w:rsidRPr="00980CD3">
        <w:t>models. Differences in the AUC between anthropometric</w:t>
      </w:r>
      <w:r>
        <w:rPr>
          <w:rFonts w:hint="eastAsia"/>
        </w:rPr>
        <w:t xml:space="preserve"> </w:t>
      </w:r>
      <w:r w:rsidRPr="00980CD3">
        <w:t>measures and CT-derived measures were evaluated with the</w:t>
      </w:r>
      <w:r>
        <w:rPr>
          <w:rFonts w:hint="eastAsia"/>
        </w:rPr>
        <w:t xml:space="preserve"> </w:t>
      </w:r>
      <w:r w:rsidRPr="00980CD3">
        <w:t>Stata (</w:t>
      </w:r>
      <w:proofErr w:type="spellStart"/>
      <w:r w:rsidRPr="00980CD3">
        <w:t>StataCorp</w:t>
      </w:r>
      <w:proofErr w:type="spellEnd"/>
      <w:r w:rsidRPr="00980CD3">
        <w:t>) “</w:t>
      </w:r>
      <w:proofErr w:type="spellStart"/>
      <w:r w:rsidRPr="00980CD3">
        <w:t>roccomp</w:t>
      </w:r>
      <w:proofErr w:type="spellEnd"/>
      <w:r w:rsidRPr="00980CD3">
        <w:t>” command. The optimal model</w:t>
      </w:r>
      <w:r>
        <w:rPr>
          <w:rFonts w:hint="eastAsia"/>
        </w:rPr>
        <w:t xml:space="preserve"> </w:t>
      </w:r>
      <w:r w:rsidRPr="00980CD3">
        <w:t>was determined as a combination of CT-derived measures</w:t>
      </w:r>
      <w:r>
        <w:rPr>
          <w:rFonts w:hint="eastAsia"/>
        </w:rPr>
        <w:t xml:space="preserve"> </w:t>
      </w:r>
      <w:r w:rsidRPr="00980CD3">
        <w:t>that maximized the AUC. In this cohort study, the predictive</w:t>
      </w:r>
      <w:r>
        <w:rPr>
          <w:rFonts w:hint="eastAsia"/>
        </w:rPr>
        <w:t xml:space="preserve"> </w:t>
      </w:r>
      <w:r w:rsidRPr="00980CD3">
        <w:t>capabilities of conventional measures and CT-derived imaging parameters were compared using the Harrell C-index, a</w:t>
      </w:r>
      <w:r>
        <w:rPr>
          <w:rFonts w:hint="eastAsia"/>
        </w:rPr>
        <w:t xml:space="preserve"> </w:t>
      </w:r>
      <w:r w:rsidRPr="00980CD3">
        <w:t>measure adapted for survival analysis (24). The predictive values of CT-derived markers were compared with those of conventional risk factor models, such as the American Diabetes</w:t>
      </w:r>
      <w:r>
        <w:rPr>
          <w:rFonts w:hint="eastAsia"/>
        </w:rPr>
        <w:t xml:space="preserve"> </w:t>
      </w:r>
      <w:r w:rsidRPr="00980CD3">
        <w:t>Association diabetes risk scores and Leicester Diabetes Risk</w:t>
      </w:r>
      <w:r>
        <w:rPr>
          <w:rFonts w:hint="eastAsia"/>
        </w:rPr>
        <w:t xml:space="preserve"> </w:t>
      </w:r>
      <w:r w:rsidRPr="00980CD3">
        <w:t>Scores. To address the issue of multiple testing, Bonferroni</w:t>
      </w:r>
      <w:r>
        <w:rPr>
          <w:rFonts w:hint="eastAsia"/>
        </w:rPr>
        <w:t xml:space="preserve"> </w:t>
      </w:r>
      <w:r w:rsidRPr="00980CD3">
        <w:t>adjustment (a method commonly used for multiple testing</w:t>
      </w:r>
      <w:r>
        <w:rPr>
          <w:rFonts w:hint="eastAsia"/>
        </w:rPr>
        <w:t xml:space="preserve"> </w:t>
      </w:r>
      <w:r w:rsidRPr="00980CD3">
        <w:t>correction) was applied. This study used routinely collected</w:t>
      </w:r>
      <w:r>
        <w:rPr>
          <w:rFonts w:hint="eastAsia"/>
        </w:rPr>
        <w:t xml:space="preserve"> </w:t>
      </w:r>
      <w:r w:rsidRPr="00980CD3">
        <w:t>health screening data, with the sample size determined by</w:t>
      </w:r>
      <w:r>
        <w:rPr>
          <w:rFonts w:hint="eastAsia"/>
        </w:rPr>
        <w:t xml:space="preserve"> </w:t>
      </w:r>
      <w:r w:rsidRPr="00980CD3">
        <w:t>enrolled patients during the study period. Statistical analyses</w:t>
      </w:r>
      <w:r>
        <w:rPr>
          <w:rFonts w:hint="eastAsia"/>
        </w:rPr>
        <w:t xml:space="preserve"> </w:t>
      </w:r>
      <w:r w:rsidRPr="00980CD3">
        <w:t>were performed by two authors (Y.C. and S.R.) using Stata</w:t>
      </w:r>
      <w:r>
        <w:rPr>
          <w:rFonts w:hint="eastAsia"/>
        </w:rPr>
        <w:t xml:space="preserve"> </w:t>
      </w:r>
      <w:r w:rsidRPr="00980CD3">
        <w:t xml:space="preserve">software (version 17.0; </w:t>
      </w:r>
      <w:proofErr w:type="spellStart"/>
      <w:r w:rsidRPr="00980CD3">
        <w:t>StataCorp</w:t>
      </w:r>
      <w:proofErr w:type="spellEnd"/>
      <w:r w:rsidRPr="00980CD3">
        <w:t>), with statistical significance</w:t>
      </w:r>
      <w:r>
        <w:rPr>
          <w:rFonts w:hint="eastAsia"/>
        </w:rPr>
        <w:t xml:space="preserve"> </w:t>
      </w:r>
      <w:r w:rsidRPr="00980CD3">
        <w:t>defined as P &lt; .05.</w:t>
      </w:r>
    </w:p>
    <w:p>
      <w:r>
        <w:br w:type="page"/>
      </w:r>
    </w:p>
    <w:p/>
    <w:p>
      <w:r>
        <w:t>Materials and Methods (국문 번역)</w:t>
        <w:br/>
        <w:t>본 후향적 연구는 기관윤리위원회(Institutional Ethics Committee, IRB No. KBSMC 2022-04-028)의 승인을 받았으며, 동의서 취득 요건은 면제되었다.</w:t>
      </w:r>
    </w:p>
    <w:p/>
    <w:p>
      <w:r>
        <w:t>환자</w:t>
        <w:br/>
        <w:t>본 연구에서는 강북삼성 건강연구(Kangbuk Samsung Health Study)—한국 산업안전보건법에 따라 건강검진을 받는 회사원 및 그 배우자를 주 대상으로 하는 전향적 코호트 연구—에 등록된 환자 중 일부를 분석하였다. 대상 선정 기준은 2012년부터 2015년 사이 종합건강검진의 일환으로 불소-18(18F) 플루오로데옥시글루코스(FDG) PET/CT를 시행받은 자였다(제외 기준의 세부 내용은 Appendix S1 참조). 방사선 피폭과 비용 문제로 건강검진에서 18F-FDG PET/CT의 역할에 대한 논란이 있음에도, 한국에서는 이 검사가 암 선별검사 목적으로 시행되고 있다.</w:t>
      </w:r>
    </w:p>
    <w:p/>
    <w:p>
      <w:r>
        <w:t>측정</w:t>
        <w:br/>
        <w:t>PET/CT 영상 획득.—최소 8시간 금식 후, 조영제를 사용하지 않고 PET/CT 장비(Discovery 600; GE HealthCare)를 이용하여 흉복부(torso) 18F-FDG PET/CT를 촬영하였다. 영상 획득 파라미터에 대한 세부 정보는 Appendix S1에 제시하였다.</w:t>
      </w:r>
    </w:p>
    <w:p>
      <w:r>
        <w:t>체성분, 간, 및 복부대동맥 석회화 분석.—PET/CT 촬영 시 얻어진 비조영증강 흉복부 CT 영상을 미국 식품의약국(FDA) 승인 상용 소프트웨어(version 1.2.0.0, DeepCatch, Medical IP; http://www.medicalip.com)로 처리하여(Appendix S1, Fig S2), 골격근, 피하지방, 내장지방의 단면적(cm²)을 신장의 제곱(m²)으로 정규화한 지표를 산출하였다. 본 연구는 전체 사망률에 대한 강력한 예측력이 보고된 이들 면적 지표와 함께, 내장지방 대 피하지방 비율, L3 level의 골소주 밀도(trabecular density)에 초점을 맞추었다(16). 또한, 이 소프트웨어는 CT 영상으로부터 딥러닝 기반 영상 합성을 통해 산출한 MRI PDFF(proton density fat fraction) 추정값을 이용하여 간의 체적 밀도(volumetric liver density) 및 추정 간 지방분율을 자동으로 계산하였다(Appendix S1). 대동맥 석회화는 환자 CT 영상의 전체 대동맥 영역에 대한 Agatston 칼슘 점수를 기반으로 산출하였다.</w:t>
      </w:r>
    </w:p>
    <w:p>
      <w:r>
        <w:br/>
        <w:t>당뇨병 및 기타 변수의 정의.—신체계측, 복부 초음파(US) 소견, 혈청 생화학 검사 자료는 건강검진 프로그램의 일환으로 18F-FDG PET/CT 촬영 이전에 체계적으로 수집되었다. 인구학적 특성, 건강행태(흡연, 음주, 신체활동), 병력 및 약물 복용력은 표준화된 자가기입식 설문지를 이용하여 평가하였다(Appendix S1).</w:t>
      </w:r>
    </w:p>
    <w:p>
      <w:r>
        <w:t>10시간 공복 후 채취한 혈액검체로 공복혈당, 당화혈색소(HbA1c), 지질 프로파일을 측정하였다. 제2형 당뇨병은 다음 중 하나 이상을 만족하는 경우로 정의하였다: 공복혈당 126 mg/dL(7.0 mmol/L) 이상, 당화혈색소 6.5%(48 mmol/mol) 이상, 또는 현재 인슐린이나 혈당강하제를 당뇨병 관리 목적으로 복용 중인 경우. 대사증후군과 임피던스 분석으로 평가한 근감소증(sarcopenia)은 표준 기준에 따라 정의하였다(Appendix S1)(17–19). 관상동맥석회화(CAC) CT 기반 CAC 점수는 0–100군과 100 초과군으로 구분하였으며, 100을 초과하는 경우 스타틴 치료 적응증의 임계값으로 간주하였다(Appendix S1)(20,21).</w:t>
      </w:r>
    </w:p>
    <w:p>
      <w:r>
        <w:br/>
        <w:t>통계 분석</w:t>
        <w:br/>
        <w:t>제2형 당뇨병 유병률에 기반한 단면 연구 및 초기에 당뇨병이 없던 대상자에서 제2형 당뇨병 발생에 기반한 코호트 연구 각각에서 환자 특성을 요약하기 위해, 평균 ± 표준편차, 백분율, 그리고 필요한 경우 중앙값과 사분위범위(IQR)를 포함한 기술통계를 사용하였다. 각 변수의 사분위수 중 최하위 사분위를 기준군으로 하여 제2형 당뇨병 및 각 임상 질환에 대한 유병률비(prevalence ratio, 95% CI 포함)를 추정하기 위해 Robust Poisson 회귀모형(22,23)을 사용하였으며, 각 변수의 나머지 세 사분위수를 최하위 사분위 기준군과 비교하여 당뇨병 발생에 대한 위험비(hazard ratio, 95% CI 포함)를 산출하기 위해 Cox 비례위험모형을 사용하였다(세부 내용은 Appendix S1 참조). CT 기반 지표와 당뇨병 위험 간의 관계를 평가하기 위해, 표본 분포의 5, 27.5, 50, 72.5, 95 백분위수를 매듭점(knot)으로 하는 제한 3차 스플라인(restricted cubic spline)을 이용하여 CT 기반 지표와 당뇨병 위험 간의 용량-반응 관계를 유연하게 추정하였다.</w:t>
      </w:r>
    </w:p>
    <w:p>
      <w:r>
        <w:br/>
        <w:t>영상 지표가 표준 또는 흔히 사용되는 실용적 지표에 비해 당뇨병 및 관련 심대사질환을 예측하는 성능은 수신자 조작 특성 곡선 하 면적(AUC)을 이용하여 평가하였다. 여러 CT 기반 지표를 조합한 모델의 경우, 다변량 로지스틱 회귀모형을 적합한 후 소프트웨어와 사후추정(postestimation) 명령어 “predict”를 이용하여 당뇨병에 대한 예측 확률을 산출하였다. 신체계측 지표와 CT 기반 지표 간 AUC 차이는 Stata(StataCorp)의 “roccomp” 명령어로 평가하였다. 최적 모델은 AUC를 최대화하는 CT 기반 지표의 조합으로 결정하였다. 본 코호트 연구에서는 생존분석에 맞게 고안된 지표인 Harrell C-index를 이용하여 기존 지표와 CT 기반 영상 지표의 예측 능력을 비교하였다(24). CT 기반 지표의 예측값은 미국당뇨병학회(American Diabetes Association) 당뇨병 위험 점수 및 Leicester Diabetes Risk Score와 같은 기존 위험인자 모형의 예측값과 비교하였다. 다중검정 문제를 해결하기 위해 다중검정 보정에 흔히 사용되는 방법인 Bonferroni 보정을 적용하였다. 본 연구는 일상적으로 수집된 건강검진 자료를 사용하였으며, 표본 크기는 연구 기간 동안 등록된 환자 수에 의해 결정되었다. 통계 분석은 Stata 소프트웨어(version 17.0; StataCorp)를 이용하여 두 명의 저자(Y.C., S.R.)가 수행하였고, 통계적 유의성은 P &lt; .05로 정의하였다.</w:t>
      </w:r>
    </w:p>
    <w:sectPr w:rsidR="00980CD3">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CD3"/>
    <w:rsid w:val="00033E05"/>
    <w:rsid w:val="00307AA5"/>
    <w:rsid w:val="008944EC"/>
    <w:rsid w:val="00980CD3"/>
    <w:rsid w:val="009A2A66"/>
    <w:rsid w:val="00EB28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3600D"/>
  <w15:chartTrackingRefBased/>
  <w15:docId w15:val="{99BD3CDD-71A5-4F13-BDBC-115D78548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980CD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80CD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80CD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80CD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80CD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80CD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80CD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80CD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80CD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80CD3"/>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80CD3"/>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80CD3"/>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80CD3"/>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80CD3"/>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80CD3"/>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80CD3"/>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80CD3"/>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80CD3"/>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80CD3"/>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80CD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80CD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80CD3"/>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80CD3"/>
    <w:pPr>
      <w:spacing w:before="160"/>
      <w:jc w:val="center"/>
    </w:pPr>
    <w:rPr>
      <w:i/>
      <w:iCs/>
      <w:color w:val="404040" w:themeColor="text1" w:themeTint="BF"/>
    </w:rPr>
  </w:style>
  <w:style w:type="character" w:customStyle="1" w:styleId="Char1">
    <w:name w:val="인용 Char"/>
    <w:basedOn w:val="a0"/>
    <w:link w:val="a5"/>
    <w:uiPriority w:val="29"/>
    <w:rsid w:val="00980CD3"/>
    <w:rPr>
      <w:i/>
      <w:iCs/>
      <w:color w:val="404040" w:themeColor="text1" w:themeTint="BF"/>
    </w:rPr>
  </w:style>
  <w:style w:type="paragraph" w:styleId="a6">
    <w:name w:val="List Paragraph"/>
    <w:basedOn w:val="a"/>
    <w:uiPriority w:val="34"/>
    <w:qFormat/>
    <w:rsid w:val="00980CD3"/>
    <w:pPr>
      <w:ind w:left="720"/>
      <w:contextualSpacing/>
    </w:pPr>
  </w:style>
  <w:style w:type="character" w:styleId="a7">
    <w:name w:val="Intense Emphasis"/>
    <w:basedOn w:val="a0"/>
    <w:uiPriority w:val="21"/>
    <w:qFormat/>
    <w:rsid w:val="00980CD3"/>
    <w:rPr>
      <w:i/>
      <w:iCs/>
      <w:color w:val="2F5496" w:themeColor="accent1" w:themeShade="BF"/>
    </w:rPr>
  </w:style>
  <w:style w:type="paragraph" w:styleId="a8">
    <w:name w:val="Intense Quote"/>
    <w:basedOn w:val="a"/>
    <w:next w:val="a"/>
    <w:link w:val="Char2"/>
    <w:uiPriority w:val="30"/>
    <w:qFormat/>
    <w:rsid w:val="00980C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980CD3"/>
    <w:rPr>
      <w:i/>
      <w:iCs/>
      <w:color w:val="2F5496" w:themeColor="accent1" w:themeShade="BF"/>
    </w:rPr>
  </w:style>
  <w:style w:type="character" w:styleId="a9">
    <w:name w:val="Intense Reference"/>
    <w:basedOn w:val="a0"/>
    <w:uiPriority w:val="32"/>
    <w:qFormat/>
    <w:rsid w:val="00980C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문서" ma:contentTypeID="0x010100FF2C55078E6BFF4C880EEE0BFE8EB826" ma:contentTypeVersion="1" ma:contentTypeDescription="새 문서를 만듭니다." ma:contentTypeScope="" ma:versionID="f80c51d3a65a853ef7d7835c4922e61a">
  <xsd:schema xmlns:xsd="http://www.w3.org/2001/XMLSchema" xmlns:xs="http://www.w3.org/2001/XMLSchema" xmlns:p="http://schemas.microsoft.com/office/2006/metadata/properties" xmlns:ns3="fa65beb1-8352-44c5-866e-344540ebd70a" targetNamespace="http://schemas.microsoft.com/office/2006/metadata/properties" ma:root="true" ma:fieldsID="6aa09a95ab7e61d8ee830cff54de39c0" ns3:_="">
    <xsd:import namespace="fa65beb1-8352-44c5-866e-344540ebd70a"/>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65beb1-8352-44c5-866e-344540ebd70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E48A5B1-B1E0-4AC7-BF2A-CFC50F8CF3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65beb1-8352-44c5-866e-344540ebd7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01DA342-A370-44C8-BB48-8FFD0A7AE54C}">
  <ds:schemaRefs>
    <ds:schemaRef ds:uri="http://schemas.microsoft.com/sharepoint/v3/contenttype/forms"/>
  </ds:schemaRefs>
</ds:datastoreItem>
</file>

<file path=customXml/itemProps3.xml><?xml version="1.0" encoding="utf-8"?>
<ds:datastoreItem xmlns:ds="http://schemas.openxmlformats.org/officeDocument/2006/customXml" ds:itemID="{A3DD32C2-9E49-4AA6-B466-2024C8A8C07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901</Words>
  <Characters>5142</Characters>
  <Application>Microsoft Office Word</Application>
  <DocSecurity>0</DocSecurity>
  <Lines>42</Lines>
  <Paragraphs>12</Paragraphs>
  <ScaleCrop>false</ScaleCrop>
  <Company/>
  <LinksUpToDate>false</LinksUpToDate>
  <CharactersWithSpaces>6031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전장훈</dc:creator>
  <cp:keywords/>
  <dc:description/>
  <cp:lastModifiedBy>전장훈</cp:lastModifiedBy>
  <cp:revision>2</cp:revision>
  <dcterms:created xsi:type="dcterms:W3CDTF">2026-08-24T03:01:00Z</dcterms:created>
  <dcterms:modified xsi:type="dcterms:W3CDTF">2026-08-24T03:01:00Z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0x010100FF2C55078E6BFF4C880EEE0BFE8EB826</vt:lpwstr>
  </property>
</Properties>
</file>