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8B01178" w14:textId="1B4E566C">
      <w:pPr>
        <w:widowControl/>
        <w:rPr>
          <w:rFonts w:cs="맑은 고딕"/>
          <w:b/>
          <w:bCs/>
          <w:sz w:val="32"/>
          <w:szCs w:val="36"/>
        </w:rPr>
      </w:pPr>
      <w:r>
        <w:rPr>
          <w:rFonts w:ascii="맑은 고딕" w:hAnsi="맑은 고딕" w:eastAsia="맑은 고딕" w:cs="맑은 고딕" w:asciiTheme="minorHAnsi" w:hAnsiTheme="minorHAnsi" w:eastAsiaTheme="minorEastAsia"/>
          <w:b/>
          <w:bCs/>
          <w:kern w:val="2"/>
          <w:sz w:val="32"/>
          <w:szCs w:val="36"/>
        </w:rPr>
        <w:t>Introduction</w:t>
      </w:r>
    </w:p>
    <w:p w14:paraId="1D481FE0" w14:textId="0291B43E">
      <w:pPr>
        <w:widowControl/>
        <w:rPr>
          <w:rFonts w:cs="맑은 고딕"/>
          <w:b/>
          <w:bCs/>
          <w:sz w:val="32"/>
          <w:szCs w:val="36"/>
        </w:rPr>
      </w:pPr>
      <w:r>
        <w:rPr>
          <w:rFonts w:ascii="맑은 고딕" w:hAnsi="맑은 고딕" w:eastAsia="맑은 고딕" w:cs="맑은 고딕" w:asciiTheme="minorHAnsi" w:hAnsiTheme="minorHAnsi" w:eastAsiaTheme="minorEastAsia"/>
          <w:kern w:val="2"/>
          <w:sz w:val="22"/>
          <w:szCs w:val="22"/>
        </w:rPr>
        <w:t>AEC 원리</w:t>
      </w:r>
    </w:p>
    <w:p w14:paraId="45211C97">
      <w:pPr>
        <w:spacing w:after="160"/>
      </w:pPr>
      <w:r>
        <w:rPr>
          <w:rFonts w:ascii="맑은 고딕" w:hAnsi="맑은 고딕" w:eastAsia="맑은 고딕" w:cs="맑은 고딕" w:asciiTheme="minorHAnsi" w:hAnsiTheme="minorHAnsi" w:eastAsiaTheme="minorEastAsia"/>
          <w:kern w:val="2"/>
          <w:sz w:val="22"/>
          <w:szCs w:val="24"/>
        </w:rPr>
        <w:t>CT 영상의 잡음(noise) 수준은 촬영 부위를 투과하는 X선의 감쇠(attenuation) 정도에 따라 결정되며, 동일한 관전류(tube current, mA)로 촬영하더라도 환자의 체격이나 부위별 두께가 다르면 잡음 수준이 균일하지 않게 된다. 이를 보정하기 위해 현대 다중검출기 CT는 자동노출조절(automatic exposure control, AEC)을 이용하여, 사전에 획득한 localizer(스카우트) 영상에서 얻은 부위별 X선 감쇠 정보를 바탕으로 사용자가 지정한 목표 영상잡음을 유지하도록 관전류를 실시간으로 조정한다. AEC는 촬영 각도에 따라 관전류를 바꾸는 각(angular, x-y) 변조, 환자의 머리에서 발 방향(craniocaudal, z축)을 따라 관전류를 바꾸는 종축(longitudinal, z) 변조, 그리고 두 방식을 결합한 x-y-z 복합 변조로 구분된다.</w:t>
      </w:r>
    </w:p>
    <w:p w14:paraId="76D9E01F">
      <w:pPr>
        <w:spacing w:after="160"/>
      </w:pPr>
      <w:r>
        <w:rPr>
          <w:rFonts w:ascii="맑은 고딕" w:hAnsi="맑은 고딕" w:eastAsia="맑은 고딕" w:cs="맑은 고딕" w:asciiTheme="minorHAnsi" w:hAnsiTheme="minorHAnsi" w:eastAsiaTheme="minorEastAsia" w:csTheme="minorBidi"/>
          <w:kern w:val="2"/>
          <w:sz w:val="22"/>
          <w:szCs w:val="24"/>
        </w:rPr>
        <w:t>이때 부위별 감쇠 정보는 본 촬영 직전에 획득하는 저선량 예비영상, 즉 localizer(scout) 영상으로부터 추정된다. Localizer는 관전류를 낮게 고정한 상태로 환자를 전후방(AP) 또는 측방(lateral) 투영으로 스캔하여 얻는 단순 투과영상으로, 이 영상의 화소 강도 분포로부터 z축 위치별 대략적인 X선 감쇠량을 산출할 수 있다. 시스템은 이 감쇠 추정치와 사용자가 지정한 목표 영상잡음 지표(noise index, 표준편차, 기준 mAs 등)를 결합하여 z축 위치별 관전류 프로파일을 사전 계산하며, 본 촬영이 시작되면 이 프로파일을 따라 관전류를 실시간으로 조정한다(일부 벤더의 경우 촬영 초반 half rotation 동안의 실측 감쇠값으로 추가 보정을 수행한다).</w:t>
      </w:r>
    </w:p>
    <w:p w14:paraId="4BEE341A">
      <w:pPr>
        <w:spacing w:after="160"/>
      </w:pPr>
      <w:r>
        <w:rPr>
          <w:rFonts w:ascii="맑은 고딕" w:hAnsi="맑은 고딕" w:eastAsia="맑은 고딕" w:cs="맑은 고딕" w:asciiTheme="minorHAnsi" w:hAnsiTheme="minorHAnsi" w:eastAsiaTheme="minorEastAsia"/>
          <w:kern w:val="2"/>
          <w:sz w:val="22"/>
          <w:szCs w:val="24"/>
        </w:rPr>
        <w:t>복부 CT에서 관전류 변조는 z축(longitudinal) 위치에 따른 두께 변화뿐 아니라 단면 내 좌우·전후 비대칭(각/x-y 변조)까지 함께 반영하는 x-y-z 복합 변조로 구현되는 경우가 많다. 감쇠가 상대적으로 낮은 부위(예: 연부조직 위주의 중간 복부)에서는 관전류를 낮추고, 감쇠가 높은 부위(예: 치밀골이 많은 골반)에서는 관전류를 높여 촬영 전 구간에서 일정한 영상 품질을 유지한다. 그 결과 촬영 진행 방향을 따라 기록되는 관전류 값의 궤적, 즉 tube-current modulation curve는 해당 z축 위치에서 환자 단면의 감쇠 특성 - 곧 체형 및 체구성(body habitus) - 을 반영하게 된다. 이러한 원리에 근거해 관전류 값과 체중 간의 강한 상관관계를 보고한 선행 연구도 있으며, 이는 AEC 곡선이 체형의 대리 지표(surrogate marker)로 활용될 수 있음을 뒷받침한다.</w:t>
      </w:r>
    </w:p>
    <w:p w14:paraId="437265DD">
      <w:pPr>
        <w:spacing w:after="160"/>
      </w:pPr>
      <w:r>
        <w:rPr>
          <w:rFonts w:ascii="맑은 고딕" w:hAnsi="맑은 고딕" w:eastAsia="맑은 고딕" w:cs="맑은 고딕" w:asciiTheme="minorHAnsi" w:hAnsiTheme="minorHAnsi" w:eastAsiaTheme="minorEastAsia" w:csTheme="minorBidi"/>
          <w:kern w:val="2"/>
          <w:sz w:val="22"/>
          <w:szCs w:val="24"/>
        </w:rPr>
        <w:t>본 연구에 포함된 CT 장비는 x-y-z 복합 변조(combined modulation)를 구현하고 있어, DICOM 헤더에서 추출한 관전류 값(XRayTubeCurrent)은 순수한 z축(longitudinal) 변조만의 결과가 아니라, 단면 내 각도별 비대칭을 반영하는 각(x-y) 변조와 두부-족부 방향의 종축(z) 변조가 결합된 combined modulation의 출력값이다. 다만 이 값은 슬라이스(회전) 당 하나로만 기록되므로, 동일 회전 내 각도별 세부 변동은 별도로 구분되지 않고 이미 해당 회전에 대한 대표값으로 통합되어 있다. 따라서 본 연구의 AEC-128 곡선은 두부-족부 방향 위치에 따라 값이 변화하는 형태를 취하지만, 각 지점의 값 자체는 z축뿐 아니라 단면 비대칭 정보까지 반영한 x-y-z 복합 변조의 결과값이다.</w:t>
      </w:r>
    </w:p>
    <w:p w14:paraId="69215B4A">
      <w:pPr>
        <w:spacing w:after="160"/>
      </w:pPr>
      <w:r>
        <w:rPr>
          <w:rFonts w:ascii="맑은 고딕" w:hAnsi="맑은 고딕" w:eastAsia="맑은 고딕" w:cs="맑은 고딕" w:asciiTheme="minorHAnsi" w:hAnsiTheme="minorHAnsi" w:eastAsiaTheme="minorEastAsia"/>
          <w:kern w:val="2"/>
          <w:sz w:val="22"/>
          <w:szCs w:val="24"/>
        </w:rPr>
        <w:t>본 연구는 이러한 관전류 변조 원리를 이용해, DICOM 헤더에 기록된 실측 관전류(XRayTubeCurrent) 값을 간(liver) 하단부터 골반뼈(hip) 상단까지의 구간에서 추출하고, 환자 간 상이한 슬라이스 수(101-238매)를 128개 지점으로 선형보간하여 표준화한 곡선인 AEC-128을 구성하였다. 이는 CT 영상 자체의 화소값을 별도로 분석하지 않고도, 촬영 과정에서 자동 기록되는 관전류 정보만으로 체형 관련 정보를 opportunistic하게 추출하는 접근에 해당한다.</w:t>
      </w:r>
    </w:p>
    <w:p w14:paraId="6E07BCBE">
      <w:pPr>
        <w:spacing w:after="160"/>
      </w:pPr>
      <w:r>
        <w:rPr>
          <w:rFonts w:ascii="맑은 고딕" w:hAnsi="맑은 고딕" w:eastAsia="맑은 고딕" w:cs="맑은 고딕" w:asciiTheme="minorHAnsi" w:hAnsiTheme="minorHAnsi" w:eastAsiaTheme="minorEastAsia" w:csTheme="minorBidi"/>
          <w:kern w:val="2"/>
          <w:sz w:val="22"/>
          <w:szCs w:val="24"/>
        </w:rPr>
        <w:t>관전류 대신 관전압(kVp)이나 노출시간(회전시간)을 조절하여 동일한 목적을 달성할 수도 있으나, 각각의 한계로 인해 관전류 변조가 AEC의 표준 구현 방식으로 채택되어 있다. 관전압을 변경하면 X선의 에너지 스펙트럼, 즉 빔의 질(beam quality) 자체가 달라져 조직 간 대조도, 조영증강 정도, 빔경화(beam hardening) 아티팩트 양상까지 함께 변화하므로 검사마다 별도의 재보정이 필요하다. 노출시간(갠트리 회전시간)을 늘리면 촬영 시간이 길어져 호흡 및 장관 연동운동에 의한 움직임 흐림(motion blur)의 위험이 커지며, 회전 속도에는 기계적으로 정해진 제약이 있어 임의로 조절하기도 어렵다. 반면 관전류는 빔의 에너지 스펙트럼이나 스캔 속도를 변화시키지 않고 X선 광자 수(선량)만을 근사적으로 선형에 가깝게 조절할 수 있어, 영상의 대조도·시간분해능 특성을 그대로 유지한 채 환자 단면의 두께 차이만을 보정하는 변수로 활용된다. 본 연구의 포함 기준상 모든 대상자가 100 kVp로 고정 촬영되었으므로(Materials 참조), 환자 간 관전류 값의 차이는 촬영 프로토콜 차이가 아닌 체형 차이만을 반영한다고 볼 수 있다.</w:t>
      </w:r>
    </w:p>
    <w:p w14:paraId="5864067E" w14:textId="66C0AD7B">
      <w:pPr>
        <w:widowControl/>
        <w:rPr>
          <w:sz w:val="32"/>
          <w:szCs w:val="36"/>
        </w:rPr>
      </w:pPr>
      <w:r>
        <w:lastRenderedPageBreak/>
        <w:rPr>
          <w:rFonts w:ascii="맑은 고딕" w:hAnsi="맑은 고딕" w:eastAsia="맑은 고딕" w:cs="맑은 고딕" w:asciiTheme="minorHAnsi" w:hAnsiTheme="minorHAnsi" w:eastAsiaTheme="minorEastAsia"/>
          <w:b/>
          <w:bCs/>
          <w:kern w:val="2"/>
          <w:sz w:val="32"/>
          <w:szCs w:val="36"/>
        </w:rPr>
        <w:t>Materials</w:t>
      </w:r>
    </w:p>
    <w:p w14:paraId="65B44E93" w14:textId="77777777">
      <w:pPr>
        <w:widowControl/>
        <w:rPr>
          <w:szCs w:val="22"/>
        </w:rPr>
      </w:pPr>
      <w:r>
        <w:rPr>
          <w:rFonts w:ascii="맑은 고딕" w:hAnsi="맑은 고딕" w:eastAsia="맑은 고딕" w:cs="맑은 고딕" w:asciiTheme="minorHAnsi" w:hAnsiTheme="minorHAnsi" w:eastAsiaTheme="minorEastAsia"/>
          <w:kern w:val="2"/>
          <w:sz w:val="22"/>
          <w:szCs w:val="22"/>
        </w:rPr>
        <w:t>This retrospective cohort study comprised two independent institutional cohorts: an internal cohort from Gangnam Severance Hospital and an external cohort from Sinchon Severance Hospital. Because the two cohorts were drawn from different hospitals and different scanner populations, the model trained on the internal cohort was applied, without retraining, to the external cohort to assess external validity. CT examinations for both cohorts were performed between January 2018 and June 2020.</w:t>
      </w:r>
    </w:p>
    <w:p w14:paraId="50B91B64" w14:textId="77777777">
      <w:pPr>
        <w:widowControl/>
        <w:rPr>
          <w:szCs w:val="22"/>
        </w:rPr>
      </w:pPr>
      <w:r>
        <w:rPr>
          <w:rFonts w:ascii="맑은 고딕" w:hAnsi="맑은 고딕" w:eastAsia="맑은 고딕" w:cs="맑은 고딕" w:asciiTheme="minorHAnsi" w:hAnsiTheme="minorHAnsi" w:eastAsiaTheme="minorEastAsia"/>
          <w:kern w:val="2"/>
          <w:sz w:val="22"/>
          <w:szCs w:val="22"/>
        </w:rPr>
        <w:t>Inclusion criteria were as follows:</w:t>
      </w:r>
    </w:p>
    <w:p w14:paraId="449B1B68" w14:textId="77777777">
      <w:pPr>
        <w:widowControl/>
        <w:ind w:left="440"/>
        <w:rPr>
          <w:szCs w:val="22"/>
        </w:rPr>
      </w:pPr>
      <w:r>
        <w:rPr>
          <w:rFonts w:ascii="맑은 고딕" w:hAnsi="맑은 고딕" w:eastAsia="맑은 고딕" w:cs="맑은 고딕" w:asciiTheme="minorHAnsi" w:hAnsiTheme="minorHAnsi" w:eastAsiaTheme="minorEastAsia"/>
          <w:kern w:val="2"/>
          <w:sz w:val="22"/>
          <w:szCs w:val="22"/>
        </w:rPr>
        <w:t>1. Both clinical data and an abdominal CT examination were available for the same patient.</w:t>
      </w:r>
    </w:p>
    <w:p w14:paraId="0D773AA7" w14:textId="77777777">
      <w:pPr>
        <w:widowControl/>
        <w:ind w:left="440"/>
        <w:rPr>
          <w:szCs w:val="22"/>
        </w:rPr>
      </w:pPr>
      <w:r>
        <w:rPr>
          <w:rFonts w:ascii="맑은 고딕" w:hAnsi="맑은 고딕" w:eastAsia="맑은 고딕" w:cs="맑은 고딕" w:asciiTheme="minorHAnsi" w:hAnsiTheme="minorHAnsi" w:eastAsiaTheme="minorEastAsia"/>
          <w:kern w:val="2"/>
          <w:sz w:val="22"/>
          <w:szCs w:val="22"/>
        </w:rPr>
        <w:t>2. Only CT examinations acquired at a tube voltage of 100 kVp were included; in the internal cohort, patients were further restricted to those scanned on the four most commonly used CT scanner models at that site (Siemens Sensation 64, GE Revolution CT, Philips Ingenuity Core 128, and Siemens SOMATOM Definition AS+), whereas in the external cohort no scanner-model restriction was applied except exclusion of the negligibly represented Canon scanners (n = 3).</w:t>
      </w:r>
    </w:p>
    <w:p w14:paraId="2911C6E1" w14:textId="77777777">
      <w:pPr>
        <w:widowControl/>
        <w:ind w:left="440"/>
        <w:rPr>
          <w:szCs w:val="22"/>
        </w:rPr>
      </w:pPr>
      <w:r>
        <w:rPr>
          <w:rFonts w:ascii="맑은 고딕" w:hAnsi="맑은 고딕" w:eastAsia="맑은 고딕" w:cs="맑은 고딕" w:eastAsiaTheme="minorEastAsia" w:csTheme="minorBidi"/>
          <w:kern w:val="2"/>
          <w:sz w:val="22"/>
          <w:szCs w:val="24"/>
        </w:rPr>
        <w:t>3. Patients younger than 20 years of age were excluded from both cohorts.</w:t>
      </w:r>
    </w:p>
    <w:p w14:paraId="24AE11F6" w14:textId="77777777">
      <w:pPr>
        <w:widowControl/>
        <w:rPr>
          <w:szCs w:val="22"/>
        </w:rPr>
      </w:pPr>
      <w:r>
        <w:rPr>
          <w:rFonts w:ascii="맑은 고딕" w:hAnsi="맑은 고딕" w:eastAsia="맑은 고딕" w:cs="맑은 고딕" w:asciiTheme="minorHAnsi" w:hAnsiTheme="minorHAnsi" w:eastAsiaTheme="minorEastAsia"/>
          <w:kern w:val="2"/>
          <w:sz w:val="22"/>
          <w:szCs w:val="22"/>
        </w:rPr>
        <w:t>After application of these criteria, the final study population consisted of 1,079 patients in the internal cohort and 922 patients in the external cohort.</w:t>
      </w:r>
    </w:p>
    <w:p w14:paraId="58A6B808" w14:textId="77777777">
      <w:pPr>
        <w:widowControl/>
        <w:rPr>
          <w:szCs w:val="22"/>
        </w:rPr>
      </w:pPr>
      <w:r>
        <w:rPr>
          <w:rFonts w:ascii="맑은 고딕" w:hAnsi="맑은 고딕" w:eastAsia="맑은 고딕" w:cs="맑은 고딕" w:asciiTheme="minorHAnsi" w:hAnsiTheme="minorHAnsi" w:eastAsiaTheme="minorEastAsia"/>
          <w:kern w:val="2"/>
          <w:sz w:val="22"/>
          <w:szCs w:val="22"/>
        </w:rPr>
        <w:t>Age, sex, height, and weight were abstracted from the same clinical database used for patient matching and served as the baseline clinical predictors, collectively termed clinic4. Outcomes were defined as the presence or absence of a documented diagnosis of hypertension (HTN), diabetes mellitus (DM), and chronic kidney disease (CKD) in the clinical database, rather than by dichotomizing a continuous laboratory measurement. Hypertension was present in 324 of 1,079 internal patients (30.0%) and 424 of 922 external patients (46.0%); diabetes mellitus in 202 internal patients (18.7%) and 285 external patients (30.9%); and chronic kidney disease in 83 internal patients (7.7%) and 168 external patients (18.2%).</w:t>
      </w:r>
    </w:p>
    <w:p w14:paraId="0098E4BB" w14:textId="77777777">
      <w:pPr>
        <w:widowControl/>
        <w:rPr>
          <w:szCs w:val="22"/>
        </w:rPr>
      </w:pPr>
      <w:r>
        <w:rPr>
          <w:rFonts w:ascii="맑은 고딕" w:hAnsi="맑은 고딕" w:eastAsia="맑은 고딕" w:cs="맑은 고딕" w:asciiTheme="minorHAnsi" w:hAnsiTheme="minorHAnsi" w:eastAsiaTheme="minorEastAsia"/>
          <w:kern w:val="2"/>
          <w:sz w:val="22"/>
          <w:szCs w:val="22"/>
        </w:rPr>
        <w:t>Baseline characteristics of the internal and external cohorts are summarized in Table 1. There were no missing values for age, sex, height, weight, BMI, comorbidity, or scanner vendor in either cohort.</w:t>
      </w:r>
    </w:p>
    <w:p w14:paraId="048B9282" w14:textId="77777777">
      <w:pPr>
        <w:widowControl/>
        <w:rPr>
          <w:szCs w:val="22"/>
        </w:rPr>
      </w:pPr>
    </w:p>
    <w:p w14:paraId="7F181492" w14:textId="77777777">
      <w:pPr>
        <w:widowControl/>
        <w:rPr>
          <w:szCs w:val="22"/>
        </w:rPr>
      </w:pPr>
    </w:p>
    <w:p w14:paraId="79803E05" w14:textId="77777777">
      <w:pPr>
        <w:widowControl/>
        <w:rPr>
          <w:szCs w:val="22"/>
        </w:rPr>
      </w:pPr>
      <w:r>
        <w:lastRenderedPageBreak/>
        <w:rPr>
          <w:rFonts w:ascii="맑은 고딕" w:hAnsi="맑은 고딕" w:eastAsia="맑은 고딕" w:cs="맑은 고딕" w:asciiTheme="minorHAnsi" w:hAnsiTheme="minorHAnsi" w:eastAsiaTheme="minorEastAsia"/>
          <w:b/>
          <w:bCs/>
          <w:kern w:val="2"/>
          <w:sz w:val="22"/>
          <w:szCs w:val="22"/>
        </w:rPr>
        <w:t>Table 1. Baseline Characteristics of the Patients</w:t>
      </w:r>
    </w:p>
    <w:tbl>
      <w:tblPr>
        <w:tblStyle w:val="aa"/>
        <w:tblpPr w:horzAnchor="margin" w:vertAnchor="text" w:tblpY="143" w:leftFromText="142" w:rightFromText="1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3241"/>
        <w:gridCol w:w="2212"/>
        <w:gridCol w:w="2197"/>
        <w:gridCol w:w="1366"/>
      </w:tblGrid>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E3BDB4" w14:textId="48CE3688">
            <w:pPr>
              <w:widowControl/>
              <w:jc w:val="center"/>
              <w:rPr>
                <w:szCs w:val="22"/>
              </w:rPr>
            </w:pPr>
            <w:r>
              <w:rPr>
                <w:rFonts w:ascii="맑은 고딕" w:hAnsi="맑은 고딕" w:eastAsia="맑은 고딕" w:cs="맑은 고딕" w:asciiTheme="minorHAnsi" w:hAnsiTheme="minorHAnsi" w:eastAsiaTheme="minorEastAsia"/>
                <w:kern w:val="2"/>
                <w:sz w:val="22"/>
                <w:szCs w:val="22"/>
              </w:rPr>
              <w:t>Characteristic</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2B7D9F" w14:textId="77777777">
            <w:pPr>
              <w:widowControl/>
              <w:jc w:val="center"/>
              <w:rPr>
                <w:szCs w:val="22"/>
              </w:rPr>
            </w:pPr>
            <w:r>
              <w:rPr>
                <w:rFonts w:ascii="맑은 고딕" w:hAnsi="맑은 고딕" w:eastAsia="맑은 고딕" w:cs="맑은 고딕" w:asciiTheme="minorHAnsi" w:hAnsiTheme="minorHAnsi" w:eastAsiaTheme="minorEastAsia"/>
                <w:kern w:val="2"/>
                <w:sz w:val="22"/>
                <w:szCs w:val="22"/>
              </w:rPr>
              <w:t>Internal cohort</w:t>
            </w:r>
          </w:p>
          <w:p w14:paraId="06F16FDF" w14:textId="4AB7D321">
            <w:pPr>
              <w:widowControl/>
              <w:jc w:val="center"/>
              <w:rPr>
                <w:szCs w:val="22"/>
              </w:rPr>
            </w:pPr>
            <w:r>
              <w:rPr>
                <w:rFonts w:ascii="맑은 고딕" w:hAnsi="맑은 고딕" w:eastAsia="맑은 고딕" w:cs="맑은 고딕" w:asciiTheme="minorHAnsi" w:hAnsiTheme="minorHAnsi" w:eastAsiaTheme="minorEastAsia"/>
                <w:kern w:val="2"/>
                <w:sz w:val="22"/>
                <w:szCs w:val="22"/>
              </w:rPr>
              <w:t>(n = 1,079)</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785F6A" w14:textId="77777777">
            <w:pPr>
              <w:widowControl/>
              <w:jc w:val="center"/>
              <w:rPr>
                <w:szCs w:val="22"/>
              </w:rPr>
            </w:pPr>
            <w:r>
              <w:rPr>
                <w:rFonts w:ascii="맑은 고딕" w:hAnsi="맑은 고딕" w:eastAsia="맑은 고딕" w:cs="맑은 고딕" w:asciiTheme="minorHAnsi" w:hAnsiTheme="minorHAnsi" w:eastAsiaTheme="minorEastAsia"/>
                <w:kern w:val="2"/>
                <w:sz w:val="22"/>
                <w:szCs w:val="22"/>
              </w:rPr>
              <w:t>External cohort</w:t>
            </w:r>
          </w:p>
          <w:p w14:paraId="775D6A71" w14:textId="68DAEB0E">
            <w:pPr>
              <w:widowControl/>
              <w:jc w:val="center"/>
              <w:rPr>
                <w:szCs w:val="22"/>
              </w:rPr>
            </w:pPr>
            <w:r>
              <w:rPr>
                <w:rFonts w:ascii="맑은 고딕" w:hAnsi="맑은 고딕" w:eastAsia="맑은 고딕" w:cs="맑은 고딕" w:asciiTheme="minorHAnsi" w:hAnsiTheme="minorHAnsi" w:eastAsiaTheme="minorEastAsia"/>
                <w:kern w:val="2"/>
                <w:sz w:val="22"/>
                <w:szCs w:val="22"/>
              </w:rPr>
              <w:t>(n = 922)</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C9663D" w14:textId="3D280466">
            <w:pPr>
              <w:widowControl/>
              <w:jc w:val="center"/>
              <w:rPr>
                <w:szCs w:val="22"/>
              </w:rPr>
            </w:pPr>
            <w:r>
              <w:rPr>
                <w:rFonts w:ascii="맑은 고딕" w:hAnsi="맑은 고딕" w:eastAsia="맑은 고딕" w:cs="맑은 고딕" w:asciiTheme="minorHAnsi" w:hAnsiTheme="minorHAnsi" w:eastAsiaTheme="minorEastAsia"/>
                <w:kern w:val="2"/>
                <w:sz w:val="22"/>
                <w:szCs w:val="22"/>
              </w:rPr>
              <w:t>p-value</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ABA7FB" w14:textId="3C274C52">
            <w:pPr>
              <w:widowControl/>
              <w:rPr>
                <w:szCs w:val="22"/>
              </w:rPr>
            </w:pPr>
            <w:r>
              <w:rPr>
                <w:rFonts w:ascii="맑은 고딕" w:hAnsi="맑은 고딕" w:eastAsia="맑은 고딕" w:cs="맑은 고딕" w:asciiTheme="minorHAnsi" w:hAnsiTheme="minorHAnsi" w:eastAsiaTheme="minorEastAsia"/>
                <w:kern w:val="2"/>
                <w:sz w:val="22"/>
                <w:szCs w:val="22"/>
              </w:rPr>
              <w:t>Age, years, mean ± SD</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582C10" w14:textId="4593C029">
            <w:pPr>
              <w:widowControl/>
              <w:jc w:val="center"/>
              <w:rPr>
                <w:szCs w:val="22"/>
              </w:rPr>
            </w:pPr>
            <w:r>
              <w:rPr>
                <w:rFonts w:ascii="맑은 고딕" w:hAnsi="맑은 고딕" w:eastAsia="맑은 고딕" w:cs="맑은 고딕" w:asciiTheme="minorHAnsi" w:hAnsiTheme="minorHAnsi" w:eastAsiaTheme="minorEastAsia"/>
                <w:kern w:val="2"/>
                <w:sz w:val="22"/>
                <w:szCs w:val="22"/>
              </w:rPr>
              <w:t>57.1 ± 12.1</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9F4086" w14:textId="5284E714">
            <w:pPr>
              <w:widowControl/>
              <w:jc w:val="center"/>
              <w:rPr>
                <w:szCs w:val="22"/>
              </w:rPr>
            </w:pPr>
            <w:r>
              <w:rPr>
                <w:rFonts w:ascii="맑은 고딕" w:hAnsi="맑은 고딕" w:eastAsia="맑은 고딕" w:cs="맑은 고딕" w:asciiTheme="minorHAnsi" w:hAnsiTheme="minorHAnsi" w:eastAsiaTheme="minorEastAsia"/>
                <w:kern w:val="2"/>
                <w:sz w:val="22"/>
                <w:szCs w:val="22"/>
              </w:rPr>
              <w:t>59.5 ± 12.7</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7B1EF0" w14:textId="0EBD8E37">
            <w:pPr>
              <w:widowControl/>
              <w:jc w:val="center"/>
              <w:rPr>
                <w:szCs w:val="22"/>
              </w:rPr>
            </w:pPr>
            <w:r>
              <w:rPr>
                <w:rFonts w:ascii="맑은 고딕" w:hAnsi="맑은 고딕" w:eastAsia="맑은 고딕" w:cs="맑은 고딕" w:asciiTheme="minorHAnsi" w:hAnsiTheme="minorHAnsi" w:eastAsiaTheme="minorEastAsia"/>
                <w:kern w:val="2"/>
                <w:sz w:val="22"/>
                <w:szCs w:val="22"/>
              </w:rPr>
              <w:t>&lt;0.001</w:t>
            </w:r>
          </w:p>
        </w:tc>
      </w:tr>
      <w:tr>
        <w:trPr>
          <w:trHeight w:val="360"/>
        </w:trP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189F36" w14:textId="77777777">
            <w:pPr>
              <w:spacing w:after="160"/>
            </w:pPr>
            <w:r>
              <w:rPr>
                <w:rFonts w:ascii="맑은 고딕" w:hAnsi="맑은 고딕" w:eastAsia="맑은 고딕" w:cs="맑은 고딕" w:asciiTheme="minorHAnsi" w:hAnsiTheme="minorHAnsi" w:eastAsiaTheme="minorEastAsia"/>
                <w:kern w:val="2"/>
                <w:sz w:val="22"/>
                <w:szCs w:val="24"/>
              </w:rPr>
              <w:t>Age, years, range</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9AC1C" w14:textId="77777777">
            <w:pPr>
              <w:spacing w:after="160"/>
              <w:jc w:val="center"/>
            </w:pPr>
            <w:r>
              <w:rPr>
                <w:rFonts w:ascii="맑은 고딕" w:hAnsi="맑은 고딕" w:eastAsia="맑은 고딕" w:cs="맑은 고딕" w:asciiTheme="minorHAnsi" w:hAnsiTheme="minorHAnsi" w:eastAsiaTheme="minorEastAsia"/>
                <w:kern w:val="2"/>
                <w:sz w:val="22"/>
                <w:szCs w:val="24"/>
              </w:rPr>
              <w:t>20-91</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57AD2E" w14:textId="77777777">
            <w:pPr>
              <w:spacing w:after="160"/>
              <w:jc w:val="center"/>
            </w:pPr>
            <w:r>
              <w:rPr>
                <w:rFonts w:ascii="맑은 고딕" w:hAnsi="맑은 고딕" w:eastAsia="맑은 고딕" w:cs="맑은 고딕" w:asciiTheme="minorHAnsi" w:hAnsiTheme="minorHAnsi" w:eastAsiaTheme="minorEastAsia"/>
                <w:kern w:val="2"/>
                <w:sz w:val="22"/>
                <w:szCs w:val="24"/>
              </w:rPr>
              <w:t>20-90</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2D226D" w14:textId="77777777">
            <w:pPr>
              <w:spacing w:after="160"/>
              <w:jc w:val="center"/>
            </w:pPr>
            <w:r>
              <w:rPr>
                <w:rFonts w:ascii="맑은 고딕" w:hAnsi="맑은 고딕" w:eastAsia="맑은 고딕" w:cs="맑은 고딕" w:asciiTheme="minorHAnsi" w:hAnsiTheme="minorHAnsi" w:eastAsiaTheme="minorEastAsia"/>
                <w:kern w:val="2"/>
                <w:sz w:val="22"/>
                <w:szCs w:val="24"/>
              </w:rPr>
              <w:t>&lt;0.001</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93B0A" w14:textId="7A0FDC50">
            <w:pPr>
              <w:widowControl/>
              <w:rPr>
                <w:szCs w:val="22"/>
              </w:rPr>
            </w:pPr>
            <w:r>
              <w:rPr>
                <w:rFonts w:ascii="맑은 고딕" w:hAnsi="맑은 고딕" w:eastAsia="맑은 고딕" w:cs="맑은 고딕" w:asciiTheme="minorHAnsi" w:hAnsiTheme="minorHAnsi" w:eastAsiaTheme="minorEastAsia"/>
                <w:kern w:val="2"/>
                <w:sz w:val="22"/>
                <w:szCs w:val="22"/>
              </w:rPr>
              <w:t>Sex, female, n (%)</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8AE206" w14:textId="542BEDA9">
            <w:pPr>
              <w:widowControl/>
              <w:jc w:val="center"/>
              <w:rPr>
                <w:szCs w:val="22"/>
              </w:rPr>
            </w:pPr>
            <w:r>
              <w:rPr>
                <w:rFonts w:ascii="맑은 고딕" w:hAnsi="맑은 고딕" w:eastAsia="맑은 고딕" w:cs="맑은 고딕" w:asciiTheme="minorHAnsi" w:hAnsiTheme="minorHAnsi" w:eastAsiaTheme="minorEastAsia"/>
                <w:kern w:val="2"/>
                <w:sz w:val="22"/>
                <w:szCs w:val="22"/>
              </w:rPr>
              <w:t>692 (64.1)</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0DCF87" w14:textId="78A354BE">
            <w:pPr>
              <w:widowControl/>
              <w:jc w:val="center"/>
              <w:rPr>
                <w:szCs w:val="22"/>
              </w:rPr>
            </w:pPr>
            <w:r>
              <w:rPr>
                <w:rFonts w:ascii="맑은 고딕" w:hAnsi="맑은 고딕" w:eastAsia="맑은 고딕" w:cs="맑은 고딕" w:asciiTheme="minorHAnsi" w:hAnsiTheme="minorHAnsi" w:eastAsiaTheme="minorEastAsia"/>
                <w:kern w:val="2"/>
                <w:sz w:val="22"/>
                <w:szCs w:val="22"/>
              </w:rPr>
              <w:t>497 (53.9)</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DF5597" w14:textId="08D91B32">
            <w:pPr>
              <w:widowControl/>
              <w:jc w:val="center"/>
              <w:rPr>
                <w:szCs w:val="22"/>
              </w:rPr>
            </w:pPr>
            <w:r>
              <w:rPr>
                <w:rFonts w:ascii="맑은 고딕" w:hAnsi="맑은 고딕" w:eastAsia="맑은 고딕" w:cs="맑은 고딕" w:asciiTheme="minorHAnsi" w:hAnsiTheme="minorHAnsi" w:eastAsiaTheme="minorEastAsia"/>
                <w:kern w:val="2"/>
                <w:sz w:val="22"/>
                <w:szCs w:val="22"/>
              </w:rPr>
              <w:t>&lt;0.001</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98963" w14:textId="34EEAF02">
            <w:pPr>
              <w:widowControl/>
              <w:rPr>
                <w:szCs w:val="22"/>
              </w:rPr>
            </w:pPr>
            <w:r>
              <w:rPr>
                <w:rFonts w:ascii="맑은 고딕" w:hAnsi="맑은 고딕" w:eastAsia="맑은 고딕" w:cs="맑은 고딕" w:asciiTheme="minorHAnsi" w:hAnsiTheme="minorHAnsi" w:eastAsiaTheme="minorEastAsia"/>
                <w:kern w:val="2"/>
                <w:sz w:val="22"/>
                <w:szCs w:val="22"/>
              </w:rPr>
              <w:t>Sex, male, n (%)</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8867FE" w14:textId="514B83C8">
            <w:pPr>
              <w:widowControl/>
              <w:jc w:val="center"/>
              <w:rPr>
                <w:szCs w:val="22"/>
              </w:rPr>
            </w:pPr>
            <w:r>
              <w:rPr>
                <w:rFonts w:ascii="맑은 고딕" w:hAnsi="맑은 고딕" w:eastAsia="맑은 고딕" w:cs="맑은 고딕" w:asciiTheme="minorHAnsi" w:hAnsiTheme="minorHAnsi" w:eastAsiaTheme="minorEastAsia"/>
                <w:kern w:val="2"/>
                <w:sz w:val="22"/>
                <w:szCs w:val="22"/>
              </w:rPr>
              <w:t>387 (35.9)</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0A4A9F" w14:textId="09C2EFF6">
            <w:pPr>
              <w:widowControl/>
              <w:jc w:val="center"/>
              <w:rPr>
                <w:szCs w:val="22"/>
              </w:rPr>
            </w:pPr>
            <w:r>
              <w:rPr>
                <w:rFonts w:ascii="맑은 고딕" w:hAnsi="맑은 고딕" w:eastAsia="맑은 고딕" w:cs="맑은 고딕" w:asciiTheme="minorHAnsi" w:hAnsiTheme="minorHAnsi" w:eastAsiaTheme="minorEastAsia"/>
                <w:kern w:val="2"/>
                <w:sz w:val="22"/>
                <w:szCs w:val="22"/>
              </w:rPr>
              <w:t>425 (46.1)</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DD9D4F" w14:textId="0D5ED2A0">
            <w:pPr>
              <w:widowControl/>
              <w:jc w:val="center"/>
              <w:rPr>
                <w:szCs w:val="22"/>
              </w:rPr>
            </w:pPr>
            <w:r>
              <w:rPr>
                <w:rFonts w:ascii="맑은 고딕" w:hAnsi="맑은 고딕" w:eastAsia="맑은 고딕" w:cs="맑은 고딕" w:asciiTheme="minorHAnsi" w:hAnsiTheme="minorHAnsi" w:eastAsiaTheme="minorEastAsia"/>
                <w:kern w:val="2"/>
                <w:sz w:val="22"/>
                <w:szCs w:val="22"/>
              </w:rPr>
              <w:t>&lt;0.001</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10709A" w14:textId="164999CA">
            <w:pPr>
              <w:widowControl/>
              <w:rPr>
                <w:szCs w:val="22"/>
              </w:rPr>
            </w:pPr>
            <w:r>
              <w:rPr>
                <w:rFonts w:ascii="맑은 고딕" w:hAnsi="맑은 고딕" w:eastAsia="맑은 고딕" w:cs="맑은 고딕" w:asciiTheme="minorHAnsi" w:hAnsiTheme="minorHAnsi" w:eastAsiaTheme="minorEastAsia"/>
                <w:kern w:val="2"/>
                <w:sz w:val="22"/>
                <w:szCs w:val="22"/>
              </w:rPr>
              <w:t>Height, cm, mean ± SD</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BC625F" w14:textId="723C5F88">
            <w:pPr>
              <w:widowControl/>
              <w:jc w:val="center"/>
              <w:rPr>
                <w:szCs w:val="22"/>
              </w:rPr>
            </w:pPr>
            <w:r>
              <w:rPr>
                <w:rFonts w:ascii="맑은 고딕" w:hAnsi="맑은 고딕" w:eastAsia="맑은 고딕" w:cs="맑은 고딕" w:asciiTheme="minorHAnsi" w:hAnsiTheme="minorHAnsi" w:eastAsiaTheme="minorEastAsia"/>
                <w:kern w:val="2"/>
                <w:sz w:val="22"/>
                <w:szCs w:val="22"/>
              </w:rPr>
              <w:t>162.2 ± 8.2</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168041" w14:textId="2591B05E">
            <w:pPr>
              <w:widowControl/>
              <w:jc w:val="center"/>
              <w:rPr>
                <w:szCs w:val="22"/>
              </w:rPr>
            </w:pPr>
            <w:r>
              <w:rPr>
                <w:rFonts w:ascii="맑은 고딕" w:hAnsi="맑은 고딕" w:eastAsia="맑은 고딕" w:cs="맑은 고딕" w:asciiTheme="minorHAnsi" w:hAnsiTheme="minorHAnsi" w:eastAsiaTheme="minorEastAsia"/>
                <w:kern w:val="2"/>
                <w:sz w:val="22"/>
                <w:szCs w:val="22"/>
              </w:rPr>
              <w:t>162.5 ± 8.6</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42DF0E" w14:textId="127C36F7">
            <w:pPr>
              <w:widowControl/>
              <w:jc w:val="center"/>
              <w:rPr>
                <w:szCs w:val="22"/>
              </w:rPr>
            </w:pPr>
            <w:r>
              <w:rPr>
                <w:rFonts w:ascii="맑은 고딕" w:hAnsi="맑은 고딕" w:eastAsia="맑은 고딕" w:cs="맑은 고딕" w:asciiTheme="minorHAnsi" w:hAnsiTheme="minorHAnsi" w:eastAsiaTheme="minorEastAsia"/>
                <w:kern w:val="2"/>
                <w:sz w:val="22"/>
                <w:szCs w:val="22"/>
              </w:rPr>
              <w:t>0.401</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D2D4C1" w14:textId="10730840">
            <w:pPr>
              <w:widowControl/>
              <w:rPr>
                <w:szCs w:val="22"/>
              </w:rPr>
            </w:pPr>
            <w:r>
              <w:rPr>
                <w:rFonts w:ascii="맑은 고딕" w:hAnsi="맑은 고딕" w:eastAsia="맑은 고딕" w:cs="맑은 고딕" w:asciiTheme="minorHAnsi" w:hAnsiTheme="minorHAnsi" w:eastAsiaTheme="minorEastAsia"/>
                <w:kern w:val="2"/>
                <w:sz w:val="22"/>
                <w:szCs w:val="22"/>
              </w:rPr>
              <w:t>Weight, kg, mean ± SD</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38F483" w14:textId="1B79A8B9">
            <w:pPr>
              <w:widowControl/>
              <w:jc w:val="center"/>
              <w:rPr>
                <w:szCs w:val="22"/>
              </w:rPr>
            </w:pPr>
            <w:r>
              <w:rPr>
                <w:rFonts w:ascii="맑은 고딕" w:hAnsi="맑은 고딕" w:eastAsia="맑은 고딕" w:cs="맑은 고딕" w:asciiTheme="minorHAnsi" w:hAnsiTheme="minorHAnsi" w:eastAsiaTheme="minorEastAsia"/>
                <w:kern w:val="2"/>
                <w:sz w:val="22"/>
                <w:szCs w:val="22"/>
              </w:rPr>
              <w:t>61.9 ± 10.6</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091DEE" w14:textId="446E59C8">
            <w:pPr>
              <w:widowControl/>
              <w:jc w:val="center"/>
              <w:rPr>
                <w:szCs w:val="22"/>
              </w:rPr>
            </w:pPr>
            <w:r>
              <w:rPr>
                <w:rFonts w:ascii="맑은 고딕" w:hAnsi="맑은 고딕" w:eastAsia="맑은 고딕" w:cs="맑은 고딕" w:asciiTheme="minorHAnsi" w:hAnsiTheme="minorHAnsi" w:eastAsiaTheme="minorEastAsia"/>
                <w:kern w:val="2"/>
                <w:sz w:val="22"/>
                <w:szCs w:val="22"/>
              </w:rPr>
              <w:t>61.8 ± 11.4</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CE1338" w14:textId="513DBB25">
            <w:pPr>
              <w:widowControl/>
              <w:jc w:val="center"/>
              <w:rPr>
                <w:szCs w:val="22"/>
              </w:rPr>
            </w:pPr>
            <w:r>
              <w:rPr>
                <w:rFonts w:ascii="맑은 고딕" w:hAnsi="맑은 고딕" w:eastAsia="맑은 고딕" w:cs="맑은 고딕" w:asciiTheme="minorHAnsi" w:hAnsiTheme="minorHAnsi" w:eastAsiaTheme="minorEastAsia"/>
                <w:kern w:val="2"/>
                <w:sz w:val="22"/>
                <w:szCs w:val="22"/>
              </w:rPr>
              <w:t>0.873</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9C84B2" w14:textId="4F22F84B">
            <w:pPr>
              <w:widowControl/>
              <w:rPr>
                <w:szCs w:val="22"/>
              </w:rPr>
            </w:pPr>
            <w:r>
              <w:rPr>
                <w:rFonts w:ascii="맑은 고딕" w:hAnsi="맑은 고딕" w:eastAsia="맑은 고딕" w:cs="맑은 고딕" w:asciiTheme="minorHAnsi" w:hAnsiTheme="minorHAnsi" w:eastAsiaTheme="minorEastAsia"/>
                <w:kern w:val="2"/>
                <w:sz w:val="22"/>
                <w:szCs w:val="22"/>
              </w:rPr>
              <w:t>BMI, kg/m², mean ± SD</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9B6620" w14:textId="5368E155">
            <w:pPr>
              <w:widowControl/>
              <w:jc w:val="center"/>
              <w:rPr>
                <w:szCs w:val="22"/>
              </w:rPr>
            </w:pPr>
            <w:r>
              <w:rPr>
                <w:rFonts w:ascii="맑은 고딕" w:hAnsi="맑은 고딕" w:eastAsia="맑은 고딕" w:cs="맑은 고딕" w:asciiTheme="minorHAnsi" w:hAnsiTheme="minorHAnsi" w:eastAsiaTheme="minorEastAsia"/>
                <w:kern w:val="2"/>
                <w:sz w:val="22"/>
                <w:szCs w:val="22"/>
              </w:rPr>
              <w:t>23.5 ± 3.1</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A99BB5" w14:textId="085FBBF3">
            <w:pPr>
              <w:widowControl/>
              <w:jc w:val="center"/>
              <w:rPr>
                <w:szCs w:val="22"/>
              </w:rPr>
            </w:pPr>
            <w:r>
              <w:rPr>
                <w:rFonts w:ascii="맑은 고딕" w:hAnsi="맑은 고딕" w:eastAsia="맑은 고딕" w:cs="맑은 고딕" w:asciiTheme="minorHAnsi" w:hAnsiTheme="minorHAnsi" w:eastAsiaTheme="minorEastAsia"/>
                <w:kern w:val="2"/>
                <w:sz w:val="22"/>
                <w:szCs w:val="22"/>
              </w:rPr>
              <w:t>23.3 ± 3.4</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C776E6" w14:textId="6E3651EE">
            <w:pPr>
              <w:widowControl/>
              <w:jc w:val="center"/>
              <w:rPr>
                <w:szCs w:val="22"/>
              </w:rPr>
            </w:pPr>
            <w:r>
              <w:rPr>
                <w:rFonts w:ascii="맑은 고딕" w:hAnsi="맑은 고딕" w:eastAsia="맑은 고딕" w:cs="맑은 고딕" w:asciiTheme="minorHAnsi" w:hAnsiTheme="minorHAnsi" w:eastAsiaTheme="minorEastAsia"/>
                <w:kern w:val="2"/>
                <w:sz w:val="22"/>
                <w:szCs w:val="22"/>
              </w:rPr>
              <w:t>0.383</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4B4485" w14:textId="79F6CFBF">
            <w:pPr>
              <w:widowControl/>
              <w:rPr>
                <w:szCs w:val="22"/>
              </w:rPr>
            </w:pPr>
            <w:r>
              <w:rPr>
                <w:rFonts w:ascii="맑은 고딕" w:hAnsi="맑은 고딕" w:eastAsia="맑은 고딕" w:cs="맑은 고딕" w:asciiTheme="minorHAnsi" w:hAnsiTheme="minorHAnsi" w:eastAsiaTheme="minorEastAsia"/>
                <w:kern w:val="2"/>
                <w:sz w:val="22"/>
                <w:szCs w:val="22"/>
              </w:rPr>
              <w:t>Hypertension, n (%)</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906DC4" w14:textId="59E379A7">
            <w:pPr>
              <w:widowControl/>
              <w:jc w:val="center"/>
              <w:rPr>
                <w:szCs w:val="22"/>
              </w:rPr>
            </w:pPr>
            <w:r>
              <w:rPr>
                <w:rFonts w:ascii="맑은 고딕" w:hAnsi="맑은 고딕" w:eastAsia="맑은 고딕" w:cs="맑은 고딕" w:asciiTheme="minorHAnsi" w:hAnsiTheme="minorHAnsi" w:eastAsiaTheme="minorEastAsia"/>
                <w:kern w:val="2"/>
                <w:sz w:val="22"/>
                <w:szCs w:val="22"/>
              </w:rPr>
              <w:t>324 (30.0)</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FF50A" w14:textId="52C97B8D">
            <w:pPr>
              <w:widowControl/>
              <w:jc w:val="center"/>
              <w:rPr>
                <w:szCs w:val="22"/>
              </w:rPr>
            </w:pPr>
            <w:r>
              <w:rPr>
                <w:rFonts w:ascii="맑은 고딕" w:hAnsi="맑은 고딕" w:eastAsia="맑은 고딕" w:cs="맑은 고딕" w:asciiTheme="minorHAnsi" w:hAnsiTheme="minorHAnsi" w:eastAsiaTheme="minorEastAsia"/>
                <w:kern w:val="2"/>
                <w:sz w:val="22"/>
                <w:szCs w:val="22"/>
              </w:rPr>
              <w:t>424 (46.0)</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F82546" w14:textId="017C72DC">
            <w:pPr>
              <w:widowControl/>
              <w:jc w:val="center"/>
              <w:rPr>
                <w:szCs w:val="22"/>
              </w:rPr>
            </w:pPr>
            <w:r>
              <w:rPr>
                <w:rFonts w:ascii="맑은 고딕" w:hAnsi="맑은 고딕" w:eastAsia="맑은 고딕" w:cs="맑은 고딕" w:asciiTheme="minorHAnsi" w:hAnsiTheme="minorHAnsi" w:eastAsiaTheme="minorEastAsia"/>
                <w:kern w:val="2"/>
                <w:sz w:val="22"/>
                <w:szCs w:val="22"/>
              </w:rPr>
              <w:t>&lt;0.001</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9C3C83" w14:textId="0FB4780C">
            <w:pPr>
              <w:widowControl/>
              <w:rPr>
                <w:szCs w:val="22"/>
              </w:rPr>
            </w:pPr>
            <w:r>
              <w:rPr>
                <w:rFonts w:ascii="맑은 고딕" w:hAnsi="맑은 고딕" w:eastAsia="맑은 고딕" w:cs="맑은 고딕" w:asciiTheme="minorHAnsi" w:hAnsiTheme="minorHAnsi" w:eastAsiaTheme="minorEastAsia"/>
                <w:kern w:val="2"/>
                <w:sz w:val="22"/>
                <w:szCs w:val="22"/>
              </w:rPr>
              <w:t>Diabetes mellitus, n (%)</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A1814" w14:textId="1E7F9FBC">
            <w:pPr>
              <w:widowControl/>
              <w:jc w:val="center"/>
              <w:rPr>
                <w:szCs w:val="22"/>
              </w:rPr>
            </w:pPr>
            <w:r>
              <w:rPr>
                <w:rFonts w:ascii="맑은 고딕" w:hAnsi="맑은 고딕" w:eastAsia="맑은 고딕" w:cs="맑은 고딕" w:asciiTheme="minorHAnsi" w:hAnsiTheme="minorHAnsi" w:eastAsiaTheme="minorEastAsia"/>
                <w:kern w:val="2"/>
                <w:sz w:val="22"/>
                <w:szCs w:val="22"/>
              </w:rPr>
              <w:t>202 (18.7)</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0A6A5E" w14:textId="6A4F6788">
            <w:pPr>
              <w:widowControl/>
              <w:jc w:val="center"/>
              <w:rPr>
                <w:szCs w:val="22"/>
              </w:rPr>
            </w:pPr>
            <w:r>
              <w:rPr>
                <w:rFonts w:ascii="맑은 고딕" w:hAnsi="맑은 고딕" w:eastAsia="맑은 고딕" w:cs="맑은 고딕" w:asciiTheme="minorHAnsi" w:hAnsiTheme="minorHAnsi" w:eastAsiaTheme="minorEastAsia"/>
                <w:kern w:val="2"/>
                <w:sz w:val="22"/>
                <w:szCs w:val="22"/>
              </w:rPr>
              <w:t>285 (30.9)</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9F78D7" w14:textId="7E4A3FBF">
            <w:pPr>
              <w:widowControl/>
              <w:jc w:val="center"/>
              <w:rPr>
                <w:szCs w:val="22"/>
              </w:rPr>
            </w:pPr>
            <w:r>
              <w:rPr>
                <w:rFonts w:ascii="맑은 고딕" w:hAnsi="맑은 고딕" w:eastAsia="맑은 고딕" w:cs="맑은 고딕" w:asciiTheme="minorHAnsi" w:hAnsiTheme="minorHAnsi" w:eastAsiaTheme="minorEastAsia"/>
                <w:kern w:val="2"/>
                <w:sz w:val="22"/>
                <w:szCs w:val="22"/>
              </w:rPr>
              <w:t>&lt;0.001</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372DDC" w14:textId="58BA9556">
            <w:pPr>
              <w:widowControl/>
              <w:rPr>
                <w:szCs w:val="22"/>
              </w:rPr>
            </w:pPr>
            <w:r>
              <w:rPr>
                <w:rFonts w:ascii="맑은 고딕" w:hAnsi="맑은 고딕" w:eastAsia="맑은 고딕" w:cs="맑은 고딕" w:asciiTheme="minorHAnsi" w:hAnsiTheme="minorHAnsi" w:eastAsiaTheme="minorEastAsia"/>
                <w:kern w:val="2"/>
                <w:sz w:val="22"/>
                <w:szCs w:val="22"/>
              </w:rPr>
              <w:t>Chronic kidney disease, n (%)</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E7042D" w14:textId="6B577363">
            <w:pPr>
              <w:widowControl/>
              <w:jc w:val="center"/>
              <w:rPr>
                <w:szCs w:val="22"/>
              </w:rPr>
            </w:pPr>
            <w:r>
              <w:rPr>
                <w:rFonts w:ascii="맑은 고딕" w:hAnsi="맑은 고딕" w:eastAsia="맑은 고딕" w:cs="맑은 고딕" w:asciiTheme="minorHAnsi" w:hAnsiTheme="minorHAnsi" w:eastAsiaTheme="minorEastAsia"/>
                <w:kern w:val="2"/>
                <w:sz w:val="22"/>
                <w:szCs w:val="22"/>
              </w:rPr>
              <w:t>83 (7.7)</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97EF1E" w14:textId="20FD31B7">
            <w:pPr>
              <w:widowControl/>
              <w:jc w:val="center"/>
              <w:rPr>
                <w:szCs w:val="22"/>
              </w:rPr>
            </w:pPr>
            <w:r>
              <w:rPr>
                <w:rFonts w:ascii="맑은 고딕" w:hAnsi="맑은 고딕" w:eastAsia="맑은 고딕" w:cs="맑은 고딕" w:asciiTheme="minorHAnsi" w:hAnsiTheme="minorHAnsi" w:eastAsiaTheme="minorEastAsia"/>
                <w:kern w:val="2"/>
                <w:sz w:val="22"/>
                <w:szCs w:val="22"/>
              </w:rPr>
              <w:t>168 (18.2)</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BD114A" w14:textId="37F99EB4">
            <w:pPr>
              <w:widowControl/>
              <w:jc w:val="center"/>
              <w:rPr>
                <w:szCs w:val="22"/>
              </w:rPr>
            </w:pPr>
            <w:r>
              <w:rPr>
                <w:rFonts w:ascii="맑은 고딕" w:hAnsi="맑은 고딕" w:eastAsia="맑은 고딕" w:cs="맑은 고딕" w:asciiTheme="minorHAnsi" w:hAnsiTheme="minorHAnsi" w:eastAsiaTheme="minorEastAsia"/>
                <w:kern w:val="2"/>
                <w:sz w:val="22"/>
                <w:szCs w:val="22"/>
              </w:rPr>
              <w:t>&lt;0.001</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169DE" w14:textId="7043302A">
            <w:pPr>
              <w:widowControl/>
              <w:rPr>
                <w:szCs w:val="22"/>
              </w:rPr>
            </w:pPr>
            <w:r>
              <w:rPr>
                <w:rFonts w:ascii="맑은 고딕" w:hAnsi="맑은 고딕" w:eastAsia="맑은 고딕" w:cs="맑은 고딕" w:asciiTheme="minorHAnsi" w:hAnsiTheme="minorHAnsi" w:eastAsiaTheme="minorEastAsia"/>
                <w:kern w:val="2"/>
                <w:sz w:val="22"/>
                <w:szCs w:val="22"/>
              </w:rPr>
              <w:t>CT scanner vendor, n (%)</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9726B8" w14:textId="1F4D1626">
            <w:pPr>
              <w:widowControl/>
              <w:jc w:val="center"/>
              <w:rPr>
                <w:szCs w:val="22"/>
              </w:rPr>
            </w:pP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B515BF" w14:textId="77777777">
            <w:pPr>
              <w:widowControl/>
              <w:jc w:val="center"/>
              <w:rPr>
                <w:szCs w:val="22"/>
              </w:rPr>
            </w:pP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0FFD01" w14:textId="70231D46">
            <w:pPr>
              <w:widowControl/>
              <w:jc w:val="center"/>
              <w:rPr>
                <w:szCs w:val="22"/>
              </w:rPr>
            </w:pPr>
            <w:r>
              <w:rPr>
                <w:rFonts w:ascii="맑은 고딕" w:hAnsi="맑은 고딕" w:eastAsia="맑은 고딕" w:cs="맑은 고딕" w:asciiTheme="minorHAnsi" w:hAnsiTheme="minorHAnsi" w:eastAsiaTheme="minorEastAsia"/>
                <w:kern w:val="2"/>
                <w:sz w:val="22"/>
                <w:szCs w:val="22"/>
              </w:rPr>
              <w:t>&lt;0.001</w:t>
            </w: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D6A50D" w14:textId="215B4805">
            <w:pPr>
              <w:widowControl/>
              <w:rPr>
                <w:szCs w:val="22"/>
              </w:rPr>
            </w:pPr>
            <w:r>
              <w:rPr>
                <w:rFonts w:ascii="맑은 고딕" w:hAnsi="맑은 고딕" w:eastAsia="맑은 고딕" w:cs="맑은 고딕" w:asciiTheme="minorHAnsi" w:hAnsiTheme="minorHAnsi" w:eastAsiaTheme="minorEastAsia"/>
                <w:kern w:val="2"/>
                <w:sz w:val="22"/>
                <w:szCs w:val="22"/>
              </w:rPr>
              <w:t>— Siemens</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86DFBB" w14:textId="47E8298A">
            <w:pPr>
              <w:widowControl/>
              <w:jc w:val="center"/>
              <w:rPr>
                <w:szCs w:val="22"/>
              </w:rPr>
            </w:pPr>
            <w:r>
              <w:rPr>
                <w:rFonts w:ascii="맑은 고딕" w:hAnsi="맑은 고딕" w:eastAsia="맑은 고딕" w:cs="맑은 고딕" w:asciiTheme="minorHAnsi" w:hAnsiTheme="minorHAnsi" w:eastAsiaTheme="minorEastAsia"/>
                <w:kern w:val="2"/>
                <w:sz w:val="22"/>
                <w:szCs w:val="22"/>
              </w:rPr>
              <w:t>560 (51.9)</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41D417" w14:textId="150C9C69">
            <w:pPr>
              <w:widowControl/>
              <w:jc w:val="center"/>
              <w:rPr>
                <w:szCs w:val="22"/>
              </w:rPr>
            </w:pPr>
            <w:r>
              <w:rPr>
                <w:rFonts w:ascii="맑은 고딕" w:hAnsi="맑은 고딕" w:eastAsia="맑은 고딕" w:cs="맑은 고딕" w:asciiTheme="minorHAnsi" w:hAnsiTheme="minorHAnsi" w:eastAsiaTheme="minorEastAsia"/>
                <w:kern w:val="2"/>
                <w:sz w:val="22"/>
                <w:szCs w:val="22"/>
              </w:rPr>
              <w:t>568 (61.6)</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7230F3" w14:textId="77777777">
            <w:pPr>
              <w:widowControl/>
              <w:jc w:val="center"/>
              <w:rPr>
                <w:szCs w:val="22"/>
              </w:rPr>
            </w:pP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65F1BA" w14:textId="5C2F1A89">
            <w:pPr>
              <w:widowControl/>
              <w:rPr>
                <w:szCs w:val="22"/>
              </w:rPr>
            </w:pPr>
            <w:r>
              <w:rPr>
                <w:rFonts w:ascii="맑은 고딕" w:hAnsi="맑은 고딕" w:eastAsia="맑은 고딕" w:cs="맑은 고딕" w:asciiTheme="minorHAnsi" w:hAnsiTheme="minorHAnsi" w:eastAsiaTheme="minorEastAsia"/>
                <w:kern w:val="2"/>
                <w:sz w:val="22"/>
                <w:szCs w:val="22"/>
              </w:rPr>
              <w:t>— GE</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F73805" w14:textId="64A9B651">
            <w:pPr>
              <w:widowControl/>
              <w:jc w:val="center"/>
              <w:rPr>
                <w:szCs w:val="22"/>
              </w:rPr>
            </w:pPr>
            <w:r>
              <w:rPr>
                <w:rFonts w:ascii="맑은 고딕" w:hAnsi="맑은 고딕" w:eastAsia="맑은 고딕" w:cs="맑은 고딕" w:asciiTheme="minorHAnsi" w:hAnsiTheme="minorHAnsi" w:eastAsiaTheme="minorEastAsia"/>
                <w:kern w:val="2"/>
                <w:sz w:val="22"/>
                <w:szCs w:val="22"/>
              </w:rPr>
              <w:t>317 (29.4)</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2D14A6" w14:textId="010029B9">
            <w:pPr>
              <w:widowControl/>
              <w:jc w:val="center"/>
              <w:rPr>
                <w:szCs w:val="22"/>
              </w:rPr>
            </w:pPr>
            <w:r>
              <w:rPr>
                <w:rFonts w:ascii="맑은 고딕" w:hAnsi="맑은 고딕" w:eastAsia="맑은 고딕" w:cs="맑은 고딕" w:asciiTheme="minorHAnsi" w:hAnsiTheme="minorHAnsi" w:eastAsiaTheme="minorEastAsia"/>
                <w:kern w:val="2"/>
                <w:sz w:val="22"/>
                <w:szCs w:val="22"/>
              </w:rPr>
              <w:t>219 (23.8)</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7DEF4E" w14:textId="77777777">
            <w:pPr>
              <w:widowControl/>
              <w:jc w:val="center"/>
              <w:rPr>
                <w:szCs w:val="22"/>
              </w:rPr>
            </w:pPr>
          </w:p>
        </w:tc>
      </w:tr>
      <w:tr>
        <w:tc>
          <w:tcPr>
            <w:tcW w:w="32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878294" w14:textId="490EC225">
            <w:pPr>
              <w:widowControl/>
              <w:rPr>
                <w:szCs w:val="22"/>
              </w:rPr>
            </w:pPr>
            <w:r>
              <w:rPr>
                <w:rFonts w:ascii="맑은 고딕" w:hAnsi="맑은 고딕" w:eastAsia="맑은 고딕" w:cs="맑은 고딕" w:asciiTheme="minorHAnsi" w:hAnsiTheme="minorHAnsi" w:eastAsiaTheme="minorEastAsia"/>
                <w:kern w:val="2"/>
                <w:sz w:val="22"/>
                <w:szCs w:val="22"/>
              </w:rPr>
              <w:t>— Philips</w:t>
            </w:r>
          </w:p>
        </w:tc>
        <w:tc>
          <w:tcPr>
            <w:tcW w:w="22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A9122D" w14:textId="270D0807">
            <w:pPr>
              <w:widowControl/>
              <w:jc w:val="center"/>
              <w:rPr>
                <w:szCs w:val="22"/>
              </w:rPr>
            </w:pPr>
            <w:r>
              <w:rPr>
                <w:rFonts w:ascii="맑은 고딕" w:hAnsi="맑은 고딕" w:eastAsia="맑은 고딕" w:cs="맑은 고딕" w:asciiTheme="minorHAnsi" w:hAnsiTheme="minorHAnsi" w:eastAsiaTheme="minorEastAsia"/>
                <w:kern w:val="2"/>
                <w:sz w:val="22"/>
                <w:szCs w:val="22"/>
              </w:rPr>
              <w:t>202 (18.7)</w:t>
            </w:r>
          </w:p>
        </w:tc>
        <w:tc>
          <w:tcPr>
            <w:tcW w:w="2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2B1AD8" w14:textId="3BBA3248">
            <w:pPr>
              <w:widowControl/>
              <w:jc w:val="center"/>
              <w:rPr>
                <w:szCs w:val="22"/>
              </w:rPr>
            </w:pPr>
            <w:r>
              <w:rPr>
                <w:rFonts w:ascii="맑은 고딕" w:hAnsi="맑은 고딕" w:eastAsia="맑은 고딕" w:cs="맑은 고딕" w:asciiTheme="minorHAnsi" w:hAnsiTheme="minorHAnsi" w:eastAsiaTheme="minorEastAsia"/>
                <w:kern w:val="2"/>
                <w:sz w:val="22"/>
                <w:szCs w:val="22"/>
              </w:rPr>
              <w:t>135 (14.6)</w:t>
            </w:r>
          </w:p>
        </w:tc>
        <w:tc>
          <w:tcPr>
            <w:tcW w:w="13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B1B540" w14:textId="77777777">
            <w:pPr>
              <w:widowControl/>
              <w:jc w:val="center"/>
              <w:rPr>
                <w:szCs w:val="22"/>
              </w:rPr>
            </w:pPr>
          </w:p>
        </w:tc>
      </w:tr>
    </w:tbl>
    <w:p w14:paraId="4A0CD5CB" w14:textId="77777777">
      <w:pPr>
        <w:widowControl/>
        <w:rPr>
          <w:szCs w:val="22"/>
        </w:rPr>
      </w:pPr>
    </w:p>
    <w:p w14:paraId="6972A589" w14:textId="77777777">
      <w:pPr>
        <w:widowControl/>
        <w:rPr>
          <w:szCs w:val="22"/>
        </w:rPr>
      </w:pPr>
      <w:r>
        <w:rPr>
          <w:rFonts w:ascii="맑은 고딕" w:hAnsi="맑은 고딕" w:eastAsia="맑은 고딕" w:cs="맑은 고딕" w:asciiTheme="minorHAnsi" w:hAnsiTheme="minorHAnsi" w:eastAsiaTheme="minorEastAsia"/>
          <w:kern w:val="2"/>
          <w:sz w:val="22"/>
          <w:szCs w:val="22"/>
        </w:rPr>
        <w:t xml:space="preserve">SD, standard deviation; BMI, body mass index. Continuous variables were compared with Welch's </w:t>
      </w:r>
      <w:r>
        <w:rPr>
          <w:rFonts w:ascii="맑은 고딕" w:hAnsi="맑은 고딕" w:eastAsia="맑은 고딕" w:cs="맑은 고딕" w:asciiTheme="minorHAnsi" w:hAnsiTheme="minorHAnsi" w:eastAsiaTheme="minorEastAsia"/>
          <w:i/>
          <w:iCs/>
          <w:kern w:val="2"/>
          <w:sz w:val="22"/>
          <w:szCs w:val="22"/>
        </w:rPr>
        <w:t>*t*</w:t>
      </w:r>
      <w:r>
        <w:rPr>
          <w:rFonts w:ascii="맑은 고딕" w:hAnsi="맑은 고딕" w:eastAsia="맑은 고딕" w:cs="맑은 고딕" w:asciiTheme="minorHAnsi" w:hAnsiTheme="minorHAnsi" w:eastAsiaTheme="minorEastAsia"/>
          <w:kern w:val="2"/>
          <w:sz w:val="22"/>
          <w:szCs w:val="22"/>
        </w:rPr>
        <w:t>-test; categorical variables were compared with the chi-square test.</w:t>
      </w:r>
    </w:p>
    <w:p w14:paraId="75E64C2D" w14:textId="01FB88B5">
      <w:pPr>
        <w:widowControl/>
        <w:rPr>
          <w:szCs w:val="22"/>
        </w:rPr>
      </w:pPr>
      <w:r>
        <w:rPr>
          <w:rFonts w:ascii="맑은 고딕" w:hAnsi="맑은 고딕" w:eastAsia="맑은 고딕" w:cs="맑은 고딕" w:asciiTheme="minorHAnsi" w:hAnsiTheme="minorHAnsi" w:eastAsiaTheme="minorEastAsia"/>
          <w:kern w:val="2"/>
          <w:sz w:val="22"/>
          <w:szCs w:val="22"/>
        </w:rPr>
        <w:t xml:space="preserve">During each abdominal CT acquisition, </w:t>
      </w:r>
      <w:r>
        <w:rPr>
          <w:rFonts w:ascii="맑은 고딕" w:hAnsi="맑은 고딕" w:eastAsia="맑은 고딕" w:cs="맑은 고딕" w:asciiTheme="minorHAnsi" w:hAnsiTheme="minorHAnsi" w:eastAsiaTheme="minorEastAsia"/>
          <w:b/>
          <w:bCs/>
          <w:kern w:val="2"/>
          <w:sz w:val="22"/>
          <w:szCs w:val="22"/>
        </w:rPr>
        <w:t>automatic exposure control (AEC)</w:t>
      </w:r>
      <w:r>
        <w:rPr>
          <w:rFonts w:ascii="맑은 고딕" w:hAnsi="맑은 고딕" w:eastAsia="맑은 고딕" w:cs="맑은 고딕" w:asciiTheme="minorHAnsi" w:hAnsiTheme="minorHAnsi" w:eastAsiaTheme="minorEastAsia"/>
          <w:kern w:val="2"/>
          <w:sz w:val="22"/>
          <w:szCs w:val="22"/>
        </w:rPr>
        <w:t xml:space="preserve"> modulates the tube current (mA) along the craniocaudal (z) axis to maintain a constant image noise level; the resulting tube-current modulation curve reflects the patient's cross-sectional attenuation, and hence body habitus, at each slice position. In this study, a fixed-length, 128-point representation of this curve (AEC-128) was used as the imaging-derived predictor.</w:t>
      </w:r>
    </w:p>
    <w:p w14:paraId="1F0549C5" w14:textId="77777777">
      <w:pPr>
        <w:widowControl/>
        <w:rPr>
          <w:szCs w:val="22"/>
        </w:rPr>
      </w:pPr>
    </w:p>
    <w:p w14:paraId="0E622FF0" w14:textId="77777777">
      <w:pPr>
        <w:pageBreakBefore/>
        <w:widowControl/>
        <w:rPr>
          <w:b/>
          <w:bCs/>
          <w:sz w:val="32"/>
          <w:szCs w:val="32"/>
        </w:rPr>
      </w:pPr>
    </w:p>
    <w:p w14:paraId="777BF6F1" w14:textId="1129DF24">
      <w:pPr>
        <w:widowControl/>
        <w:rPr>
          <w:szCs w:val="22"/>
        </w:rPr>
      </w:pPr>
      <w:r>
        <w:rPr>
          <w:rFonts w:ascii="맑은 고딕" w:hAnsi="맑은 고딕" w:eastAsia="맑은 고딕" w:cs="맑은 고딕" w:asciiTheme="minorHAnsi" w:hAnsiTheme="minorHAnsi" w:eastAsiaTheme="minorEastAsia"/>
          <w:b/>
          <w:bCs/>
          <w:kern w:val="2"/>
          <w:sz w:val="32"/>
          <w:szCs w:val="32"/>
        </w:rPr>
        <w:t>Method</w:t>
      </w:r>
    </w:p>
    <w:p w14:paraId="69BD64D3" w14:textId="25E03FF7">
      <w:pPr>
        <w:widowControl/>
        <w:rPr>
          <w:sz w:val="24"/>
        </w:rPr>
      </w:pPr>
      <w:r>
        <w:rPr>
          <w:rFonts w:ascii="맑은 고딕" w:hAnsi="맑은 고딕" w:eastAsia="맑은 고딕" w:cs="맑은 고딕" w:asciiTheme="minorHAnsi" w:hAnsiTheme="minorHAnsi" w:eastAsiaTheme="minorEastAsia"/>
          <w:kern w:val="2"/>
          <w:sz w:val="24"/>
          <w:szCs w:val="24"/>
        </w:rPr>
        <w:t>AEC-128 Curve Construction</w:t>
      </w:r>
    </w:p>
    <w:p w14:paraId="09CF81BE" w14:textId="77777777">
      <w:pPr>
        <w:widowControl/>
        <w:rPr>
          <w:szCs w:val="22"/>
        </w:rPr>
      </w:pPr>
      <w:r>
        <w:rPr>
          <w:rFonts w:ascii="맑은 고딕" w:hAnsi="맑은 고딕" w:eastAsia="맑은 고딕" w:cs="맑은 고딕" w:asciiTheme="minorHAnsi" w:hAnsiTheme="minorHAnsi" w:eastAsiaTheme="minorEastAsia"/>
          <w:kern w:val="2"/>
          <w:sz w:val="22"/>
          <w:szCs w:val="22"/>
        </w:rPr>
        <w:t>To construct the fixed-length AEC-128 feature, the axial source series was first identified for each patient, excluding coronal/sagittal reformations, scout images, and dose reports, based on slice count, DICOM ImageType, SeriesDescription, and image orientation. An open-source, deep-learning-based segmentation tool (TotalSegmentator) was then applied to localize the liver and the bilateral hip bones, with the cranial-most liver slice and caudal-most hip slice defining the upper and lower boundaries of the analysis range; segmentation was used solely for this anatomical landmark localization, while tube-current values themselves were obtained directly from the DICOM header (XRayTubeCurrent). Tube-current values within this pubis-to-liver range were extracted in craniocaudal order, and because the resulting slice count varied across patients from 101 to 238 slices, each sequence was resampled by linear interpolation to a fixed length of 128 points, yielding the AEC-128 curve used as the analytic unit in subsequent modeling.</w:t>
      </w:r>
    </w:p>
    <w:p w14:paraId="78B0FA36" w14:textId="77777777">
      <w:pPr>
        <w:widowControl/>
        <w:rPr>
          <w:szCs w:val="22"/>
        </w:rPr>
      </w:pPr>
    </w:p>
    <w:p w14:paraId="54FE4FE9" w14:textId="5CF422BE">
      <w:pPr>
        <w:widowControl/>
        <w:rPr>
          <w:szCs w:val="22"/>
        </w:rPr>
      </w:pPr>
      <w:r>
        <w:rPr>
          <w:rFonts w:ascii="맑은 고딕" w:hAnsi="맑은 고딕" w:eastAsia="맑은 고딕" w:cs="맑은 고딕" w:asciiTheme="minorHAnsi" w:hAnsiTheme="minorHAnsi" w:eastAsiaTheme="minorEastAsia"/>
          <w:kern w:val="2"/>
          <w:sz w:val="22"/>
          <w:szCs w:val="22"/>
        </w:rPr>
        <w:t>Functional Principle Component Analysis</w:t>
      </w:r>
    </w:p>
    <w:p>
      <w:pPr/>
      <w:r>
        <w:rPr>
          <w:rFonts w:ascii="맑은 고딕" w:hAnsi="맑은 고딕" w:eastAsia="맑은 고딕" w:cs="맑은 고딕"/>
          <w:sz w:val="22"/>
        </w:rPr>
        <w:t>AEC-128 곡선은 환자 1인당 128차원의 변수이나, 인접 지점 값이 서로 강한 상관관계(autocorrelation)를 갖는 함수형 자료(functional data)이다. 128개 지점을 독립 변수로 그대로 투입할 경우 다중공선성과 과적합 위험이 크므로, 함수주성분분석(functional principal component analysis, FPCA)을 적용하여 곡선의 형태 정보를 저차원으로 요약하였다. FPCA는 주성분분석(PCA)의 원리를 함수형 자료로 확장한 차원축소 기법으로, 개별 곡선을 평균곡선과 곡선 간 변동을 가장 많이 설명하는 일련의 직교 성분들의 선형결합으로 근사하며, 각 환자의 곡선은 이들 성분에 대한 투영값인 성분점수(FPC score)로 요약된다.</w:t>
      </w:r>
    </w:p>
    <w:p>
      <w:pPr/>
      <w:r>
        <w:rPr>
          <w:rFonts w:ascii="맑은 고딕" w:hAnsi="맑은 고딕" w:eastAsia="맑은 고딕" w:cs="맑은 고딕"/>
          <w:sz w:val="22"/>
        </w:rPr>
        <w:t>구체적으로 ① 내부 코호트 전체 곡선의 평균곡선 mu(z) (z = 1, ..., 128)를 산출하고, ② 각 환자 원곡선에서 평균을 차감한 편차곡선 d_i(z) = x_i(z) - mu(z)를 구하고, ③ 편차곡선들의 128×128 공분산행렬을 고유분해(수치적 안정성을 위해 실제로는 특이값분해(SVD)를 이용, scikit-learn PCA)하여 분산을 가장 많이 설명하는 순서로 정렬된 성분(고유함수, phi_k)과 고유값(lambda_k)을 얻고, ④ 각 환자의 편차곡선을 각 성분에 투영하여 성분점수 score_i,k = Σ_z d_i(z)·phi_k(z)를 산출하였다.</w:t>
      </w:r>
    </w:p>
    <w:p>
      <w:pPr>
        <w:jc w:val="center"/>
      </w:pPr>
      <w:r>
        <w:drawing>
          <wp:inline xmlns:a="http://schemas.openxmlformats.org/drawingml/2006/main" xmlns:pic="http://schemas.openxmlformats.org/drawingml/2006/picture">
            <wp:extent cx="5943600" cy="361419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14197"/>
                    </a:xfrm>
                    <a:prstGeom prst="rect"/>
                  </pic:spPr>
                </pic:pic>
              </a:graphicData>
            </a:graphic>
          </wp:inline>
        </w:drawing>
      </w:r>
    </w:p>
    <w:p>
      <w:r>
        <w:rPr>
          <w:rFonts w:ascii="맑은 고딕" w:hAnsi="맑은 고딕" w:eastAsia="맑은 고딕" w:cs="맑은 고딕"/>
          <w:b/>
          <w:sz w:val="22"/>
        </w:rPr>
        <w:t>Figure 1. Computation of functional principal component analysis (FPCA) on the internal-cohort AEC-128 curves. (A) A random sample of patient curves (gray) and the resulting mean curve μ(z) (black). (B) Deviation curve dᵢ(z) = xᵢ(z) − μ(z) for a representative patient. (C, F) The 128×128 covariance matrix, eigen-decomposed (via SVD) to obtain (E) the eigenvalue scree plot used for elbow-based component selection (k = 3) and (G) the resulting eigenfunctions φ₁–φ₃, shown as μ(z) ± √λₖ·φₖ(z). (D) Projection of the representative patient's deviation curve onto φ₁ yields the component score scoreᵢ,₁ = Σᵩ dᵢ(z)φ₁(z) = 1,318.</w:t>
      </w:r>
    </w:p>
    <w:p>
      <w:pPr/>
      <w:r>
        <w:rPr>
          <w:rFonts w:ascii="맑은 고딕" w:hAnsi="맑은 고딕" w:eastAsia="맑은 고딕" w:cs="맑은 고딕"/>
          <w:sz w:val="22"/>
        </w:rPr>
        <w:t>내부 코호트에 PCA를 적합한 결과 PC1이 전체 변동의 84.3%를, PC1-2 누적 94.8%를, PC1-3 누적 97.4%를 설명하였다. 성분 수는 누적설명분산의 scree plot에서 elbow(Kneedle 알고리즘: 성분 수와 개별 설명분산비율을 각각 0-1로 정규화한 뒤 첫 성분과 마지막 성분을 잇는 직선까지 수직 거리가 최대인 지점을 elbow로 정의)로 결정하였으며, 그 결과가 PC3와 일치하여 3개 성분점수(PC1-PC3)를 AEC 곡선의 대표 지표로 고정 채택하였다. 개별 환자 수준의 재구성 정확도를 예시로 확인하기 위해 PC1-PC3 성분점수가 모두 크고 재구성 적합도가 상위 25% 이내인 한 환자(PC1 +1,318, PC2 +1,175, PC3 -247)를 재구성한 결과, 원곡선과의 결정계수(R²)는 0.992로 나타나 128개 지점의 원자료가 3개의 성분점수만으로 근사됨을 확인하였다.</w:t>
      </w:r>
    </w:p>
    <w:p>
      <w:pPr/>
      <w:r>
        <w:rPr>
          <w:rFonts w:ascii="맑은 고딕" w:hAnsi="맑은 고딕" w:eastAsia="맑은 고딕" w:cs="맑은 고딕"/>
          <w:sz w:val="22"/>
        </w:rPr>
        <w:t>성분(고유함수)은 내부 코호트에서만 추정하고, 외부 코호트의 곡선은 이 고정된 성분에 재학습 없이 투영하여 성분점수만 산출함으로써 두 코호트를 동일한 기준으로 비교하였다. 이는 평균·표준편차·왜도와 같은 개별 요약통계량이 포착하지 못하는 곡선의 형태학적 변이를 정량화하여 예측모델의 입력 변수로 활용하기 위함이다.</w:t>
      </w:r>
    </w:p>
    <w:sectPr>
      <w:pgSz w:w="11906" w:h="16838"/>
      <w:pgMar w:top="1701" w:right="1440" w:bottom="1440" w:left="1440" w:header="851" w:footer="992"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C3F9" w14:textId="77777777">
      <w:pPr>
        <w:spacing w:after="0"/>
      </w:pPr>
      <w:r>
        <w:separator/>
      </w:r>
    </w:p>
  </w:endnote>
  <w:endnote w:type="continuationSeparator" w:id="0">
    <w:p w14:paraId="028B340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1B46B" w14:textId="77777777">
      <w:pPr>
        <w:spacing w:after="0"/>
      </w:pPr>
      <w:r>
        <w:separator/>
      </w:r>
    </w:p>
  </w:footnote>
  <w:footnote w:type="continuationSeparator" w:id="0">
    <w:p w14:paraId="5FBE0B7A" w14:textId="7777777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EFA"/>
    <w:rsid w:val="00033E05"/>
    <w:rsid w:val="001D4591"/>
    <w:rsid w:val="002A46D4"/>
    <w:rsid w:val="00307AA5"/>
    <w:rsid w:val="003415E4"/>
    <w:rsid w:val="003A2EFA"/>
    <w:rsid w:val="00625CC0"/>
    <w:rsid w:val="006F3573"/>
    <w:rsid w:val="00722F1A"/>
    <w:rsid w:val="008944EC"/>
    <w:rsid w:val="009A2A66"/>
    <w:rsid w:val="00C83667"/>
    <w:rsid w:val="00D94499"/>
    <w:rsid w:val="00E35550"/>
    <w:rsid w:val="00F4593E"/>
    <w:rsid w:val="00FB2F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A7334"/>
  <w15:chartTrackingRefBased/>
  <w15:docId w15:val="{B958ED9A-EEA0-4D11-9FC6-37EAB2B3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A2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A2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A2EF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A2E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A2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A2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A2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A2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A2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A2EF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A2EF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A2EF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A2EF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A2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A2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A2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A2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A2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A2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A2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2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A2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A2EFA"/>
    <w:pPr>
      <w:spacing w:before="160"/>
      <w:jc w:val="center"/>
    </w:pPr>
    <w:rPr>
      <w:i/>
      <w:iCs/>
      <w:color w:val="404040" w:themeColor="text1" w:themeTint="BF"/>
    </w:rPr>
  </w:style>
  <w:style w:type="character" w:customStyle="1" w:styleId="Char1">
    <w:name w:val="인용 Char"/>
    <w:basedOn w:val="a0"/>
    <w:link w:val="a5"/>
    <w:uiPriority w:val="29"/>
    <w:rsid w:val="003A2EFA"/>
    <w:rPr>
      <w:i/>
      <w:iCs/>
      <w:color w:val="404040" w:themeColor="text1" w:themeTint="BF"/>
    </w:rPr>
  </w:style>
  <w:style w:type="paragraph" w:styleId="a6">
    <w:name w:val="List Paragraph"/>
    <w:basedOn w:val="a"/>
    <w:uiPriority w:val="34"/>
    <w:qFormat/>
    <w:rsid w:val="003A2EFA"/>
    <w:pPr>
      <w:ind w:left="720"/>
      <w:contextualSpacing/>
    </w:pPr>
  </w:style>
  <w:style w:type="character" w:styleId="a7">
    <w:name w:val="Intense Emphasis"/>
    <w:basedOn w:val="a0"/>
    <w:uiPriority w:val="21"/>
    <w:qFormat/>
    <w:rsid w:val="003A2EFA"/>
    <w:rPr>
      <w:i/>
      <w:iCs/>
      <w:color w:val="2F5496" w:themeColor="accent1" w:themeShade="BF"/>
    </w:rPr>
  </w:style>
  <w:style w:type="paragraph" w:styleId="a8">
    <w:name w:val="Intense Quote"/>
    <w:basedOn w:val="a"/>
    <w:next w:val="a"/>
    <w:link w:val="Char2"/>
    <w:uiPriority w:val="30"/>
    <w:qFormat/>
    <w:rsid w:val="003A2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A2EFA"/>
    <w:rPr>
      <w:i/>
      <w:iCs/>
      <w:color w:val="2F5496" w:themeColor="accent1" w:themeShade="BF"/>
    </w:rPr>
  </w:style>
  <w:style w:type="character" w:styleId="a9">
    <w:name w:val="Intense Reference"/>
    <w:basedOn w:val="a0"/>
    <w:uiPriority w:val="32"/>
    <w:qFormat/>
    <w:rsid w:val="003A2EFA"/>
    <w:rPr>
      <w:b/>
      <w:bCs/>
      <w:smallCaps/>
      <w:color w:val="2F5496" w:themeColor="accent1" w:themeShade="BF"/>
      <w:spacing w:val="5"/>
    </w:rPr>
  </w:style>
  <w:style w:type="table" w:styleId="aa">
    <w:name w:val="Table Grid"/>
    <w:basedOn w:val="a1"/>
    <w:uiPriority w:val="39"/>
    <w:rsid w:val="002A46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6F3573"/>
    <w:pPr>
      <w:tabs>
        <w:tab w:val="center" w:pos="4513"/>
        <w:tab w:val="right" w:pos="9026"/>
      </w:tabs>
      <w:snapToGrid w:val="0"/>
    </w:pPr>
  </w:style>
  <w:style w:type="character" w:customStyle="1" w:styleId="Char3">
    <w:name w:val="머리글 Char"/>
    <w:basedOn w:val="a0"/>
    <w:link w:val="ab"/>
    <w:uiPriority w:val="99"/>
    <w:rsid w:val="006F3573"/>
  </w:style>
  <w:style w:type="paragraph" w:styleId="ac">
    <w:name w:val="footer"/>
    <w:basedOn w:val="a"/>
    <w:link w:val="Char4"/>
    <w:uiPriority w:val="99"/>
    <w:unhideWhenUsed/>
    <w:rsid w:val="006F3573"/>
    <w:pPr>
      <w:tabs>
        <w:tab w:val="center" w:pos="4513"/>
        <w:tab w:val="right" w:pos="9026"/>
      </w:tabs>
      <w:snapToGrid w:val="0"/>
    </w:pPr>
  </w:style>
  <w:style w:type="character" w:customStyle="1" w:styleId="Char4">
    <w:name w:val="바닥글 Char"/>
    <w:basedOn w:val="a0"/>
    <w:link w:val="ac"/>
    <w:uiPriority w:val="99"/>
    <w:rsid w:val="006F3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58CC5-9D22-4D94-A3DB-7779705E3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5</Pages>
  <Words>879</Words>
  <Characters>5015</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전장훈</dc:creator>
  <cp:keywords/>
  <dc:description/>
  <cp:lastModifiedBy>전장훈</cp:lastModifiedBy>
  <cp:revision>5</cp:revision>
  <dcterms:created xsi:type="dcterms:W3CDTF">2026-08-14T02:40:00Z</dcterms:created>
  <dcterms:modified xsi:type="dcterms:W3CDTF">2026-08-18T05:32:29.191Z</dcterms:modified>
</cp:coreProperties>
</file>