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165C9E6">
      <w:pPr>
        <w:pStyle w:val="1"/>
      </w:pPr>
      <w:r>
        <w:rPr>
          <w:rFonts w:ascii="Calibri" w:hAnsi="Calibri" w:eastAsia="ＭＳ ゴシック" w:cs="Calibri" w:asciiTheme="majorHAnsi" w:hAnsiTheme="majorHAnsi" w:eastAsiaTheme="majorEastAsia"/>
          <w:b/>
          <w:bCs/>
          <w:color w:val="365F91" w:themeColor="accent1" w:themeShade="BF"/>
          <w:sz w:val="28"/>
          <w:szCs w:val="28"/>
        </w:rPr>
        <w:t>Study Design and Participants</w:t>
      </w:r>
    </w:p>
    <w:p w14:paraId="6DC0A18E">
      <w:pPr>
        <w:spacing w:after="200" w:line="276" w:lineRule="auto"/>
      </w:pPr>
      <w:r>
        <w:rPr>
          <w:rFonts w:ascii="Cambria" w:hAnsi="Cambria" w:eastAsia="ＭＳ 明朝" w:cs="Cambria" w:asciiTheme="minorHAnsi" w:hAnsiTheme="minorHAnsi" w:eastAsiaTheme="minorEastAsia"/>
          <w:i/>
          <w:iCs/>
          <w:sz w:val="22"/>
          <w:szCs w:val="22"/>
        </w:rPr>
        <w:t>[Institutional review board approval number(s) and the informed-consent waiver statement for each participating hospital are to be inserted here once confirmed; they are not part of the analysis pipeline reproduced for this draft.]</w:t>
      </w:r>
    </w:p>
    <w:p w14:paraId="29EA9F14">
      <w:pPr>
        <w:spacing w:after="200" w:line="276" w:lineRule="auto"/>
      </w:pPr>
      <w:r>
        <w:rPr>
          <w:rFonts w:ascii="Cambria" w:hAnsi="Cambria" w:eastAsia="ＭＳ 明朝" w:cs="Cambria" w:asciiTheme="minorHAnsi" w:hAnsiTheme="minorHAnsi" w:eastAsiaTheme="minorEastAsia"/>
          <w:sz w:val="22"/>
          <w:szCs w:val="22"/>
        </w:rPr>
        <w:t>This retrospective study comprised two independent institutional cohorts drawn from hospital clinical and CT imaging databases: an internal cohort from Gangnam Severance Hospital and an external cohort from Sinchon Severance Hospital. Because the two cohorts were drawn from different hospitals, the model trained on the internal cohort was applied, without retraining, to the external cohort to assess external validity, following established internal/external validation principles for clinical prediction models [1-3]. CT examinations were performed between January 2018 and June 2020 for the internal cohort and throughout 2019 for the external cohort. Inclusion criteria were that both clinical data and an abdominal CT examination were available for the same patient, that the CT examination was acquired at a tube voltage of 100 kVp, and that the patient was 20 years of age or older.</w:t>
      </w:r>
    </w:p>
    <w:p w14:paraId="53638158">
      <w:pPr>
        <w:spacing w:after="200" w:line="276" w:lineRule="auto"/>
      </w:pPr>
      <w:r>
        <w:rPr>
          <w:rFonts w:ascii="Cambria" w:hAnsi="Cambria" w:eastAsia="ＭＳ 明朝" w:cs="Cambria" w:asciiTheme="minorHAnsi" w:hAnsiTheme="minorHAnsi" w:eastAsiaTheme="minorEastAsia"/>
          <w:sz w:val="22"/>
          <w:szCs w:val="22"/>
        </w:rPr>
        <w:t>After application of these criteria, the final study population consisted of 1,088 patients in the internal cohort and 925 patients in the external cohort; the patient selection process for both cohorts is summarized in Figure 1.</w:t>
      </w:r>
    </w:p>
    <w:p w14:paraId="51930C30">
      <w:pPr>
        <w:jc w:val="center"/>
      </w:pPr>
      <w:r>
        <w:drawing>
          <wp:inline distT="0" distB="0" distL="0" distR="0">
            <wp:extent cx="5943600" cy="30003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20"/>
                    <a:stretch>
                      <a:fillRect/>
                    </a:stretch>
                  </pic:blipFill>
                  <pic:spPr>
                    <a:xfrm>
                      <a:off x="0" y="0"/>
                      <a:ext cx="5943600" cy="3000375"/>
                    </a:xfrm>
                    <a:prstGeom prst="rect">
                      <a:avLst/>
                    </a:prstGeom>
                  </pic:spPr>
                </pic:pic>
              </a:graphicData>
            </a:graphic>
          </wp:inline>
        </w:drawing>
      </w:r>
    </w:p>
    <w:p w14:paraId="4B56FDA5">
      <w:pPr>
        <w:spacing w:after="200" w:line="276" w:lineRule="auto"/>
      </w:pPr>
      <w:r>
        <w:rPr>
          <w:rFonts w:ascii="Cambria" w:hAnsi="Cambria" w:eastAsia="ＭＳ 明朝" w:cs="Cambria" w:asciiTheme="minorHAnsi" w:hAnsiTheme="minorHAnsi" w:eastAsiaTheme="minorEastAsia"/>
          <w:sz w:val="22"/>
          <w:szCs w:val="22"/>
        </w:rPr>
        <w:t>Figure 1. Flow diagram of patient selection for the internal and external cohorts.</w:t>
      </w:r>
    </w:p>
    <w:p w14:paraId="444315AC">
      <w:pPr>
        <w:spacing w:after="200" w:line="276" w:lineRule="auto"/>
      </w:pPr>
      <w:r>
        <w:rPr>
          <w:rFonts w:ascii="Cambria" w:hAnsi="Cambria" w:eastAsia="ＭＳ 明朝" w:cs="Cambria" w:asciiTheme="minorHAnsi" w:hAnsiTheme="minorHAnsi" w:eastAsiaTheme="minorEastAsia"/>
          <w:sz w:val="22"/>
          <w:szCs w:val="22"/>
        </w:rPr>
        <w:t>Baseline characteristics of the internal and external cohorts are summarized in Table 1. There were no missing values for age, sex, height, weight, BMI, comorbidity, or scanner vendor in either cohort.</w:t>
      </w:r>
    </w:p>
    <w:p w14:paraId="3699EC73">
      <w:pPr>
        <w:spacing w:after="200" w:line="276" w:lineRule="auto"/>
      </w:pPr>
      <w:r>
        <w:rPr>
          <w:rFonts w:ascii="Cambria" w:hAnsi="Cambria" w:eastAsia="ＭＳ 明朝" w:cs="Cambria" w:asciiTheme="minorHAnsi" w:hAnsiTheme="minorHAnsi" w:eastAsiaTheme="minorEastAsia"/>
          <w:sz w:val="22"/>
          <w:szCs w:val="22"/>
        </w:rPr>
        <w:t>Table 1. Baseline Characteristics of the Patients</w:t>
      </w:r>
    </w:p>
    <w:tbl>
      <w:tblPr>
        <w:tblStyle w:val="28"/>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Look w:firstRow="1" w:firstColumn="1" w:noVBand="1"/>
      </w:tblPr>
      <w:tblGrid>
        <w:gridCol w:w="2160"/>
        <w:gridCol w:w="2160"/>
        <w:gridCol w:w="2160"/>
        <w:gridCol w:w="2160"/>
      </w:tblGrid>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2443EFF">
            <w:pPr>
              <w:spacing w:after="200" w:line="276" w:lineRule="auto"/>
            </w:pPr>
            <w:r/>
            <w:r>
              <w:rPr>
                <w:rFonts w:ascii="Cambria" w:hAnsi="Cambria" w:eastAsia="ＭＳ 明朝" w:cs="Cambria" w:asciiTheme="minorHAnsi" w:hAnsiTheme="minorHAnsi" w:eastAsiaTheme="minorEastAsia"/>
                <w:b/>
                <w:bCs/>
                <w:sz w:val="22"/>
                <w:szCs w:val="22"/>
              </w:rPr>
              <w:t>Characteristic</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3FA40F0">
            <w:pPr>
              <w:spacing w:after="200" w:line="276" w:lineRule="auto"/>
            </w:pPr>
            <w:r>
              <w:rPr>
                <w:rFonts w:ascii="Cambria" w:hAnsi="Cambria" w:eastAsia="ＭＳ 明朝" w:cs="Cambria" w:asciiTheme="minorHAnsi" w:hAnsiTheme="minorHAnsi" w:eastAsiaTheme="minorEastAsia"/>
                <w:b/>
                <w:bCs/>
                <w:sz w:val="22"/>
                <w:szCs w:val="22"/>
              </w:rPr>
              <w:t>Internal cohort</w:t>
            </w:r>
            <w:r>
              <w:br w:type="textWrapping"/>
            </w:r>
            <w:r>
              <w:rPr>
                <w:rFonts w:ascii="Cambria" w:hAnsi="Cambria" w:eastAsia="ＭＳ 明朝" w:cs="Cambria" w:asciiTheme="minorHAnsi" w:hAnsiTheme="minorHAnsi" w:eastAsiaTheme="minorEastAsia"/>
                <w:b/>
                <w:bCs/>
                <w:sz w:val="22"/>
                <w:szCs w:val="22"/>
              </w:rPr>
              <w:t>(n = 1,088)</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199465B0">
            <w:pPr>
              <w:spacing w:after="200" w:line="276" w:lineRule="auto"/>
            </w:pPr>
            <w:r>
              <w:rPr>
                <w:rFonts w:ascii="Cambria" w:hAnsi="Cambria" w:eastAsia="ＭＳ 明朝" w:cs="Cambria" w:asciiTheme="minorHAnsi" w:hAnsiTheme="minorHAnsi" w:eastAsiaTheme="minorEastAsia"/>
                <w:b/>
                <w:bCs/>
                <w:sz w:val="22"/>
                <w:szCs w:val="22"/>
              </w:rPr>
              <w:t>External cohort</w:t>
            </w:r>
            <w:r>
              <w:br w:type="textWrapping"/>
            </w:r>
            <w:r>
              <w:rPr>
                <w:rFonts w:ascii="Cambria" w:hAnsi="Cambria" w:eastAsia="ＭＳ 明朝" w:cs="Cambria" w:asciiTheme="minorHAnsi" w:hAnsiTheme="minorHAnsi" w:eastAsiaTheme="minorEastAsia"/>
                <w:b/>
                <w:bCs/>
                <w:sz w:val="22"/>
                <w:szCs w:val="22"/>
              </w:rPr>
              <w:t>(n = 925)</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515B4B77">
            <w:pPr>
              <w:spacing w:after="200" w:line="276" w:lineRule="auto"/>
            </w:pPr>
            <w:r/>
            <w:r>
              <w:rPr>
                <w:rFonts w:ascii="Cambria" w:hAnsi="Cambria" w:eastAsia="ＭＳ 明朝" w:cs="Cambria" w:asciiTheme="minorHAnsi" w:hAnsiTheme="minorHAnsi" w:eastAsiaTheme="minorEastAsia"/>
                <w:b/>
                <w:bCs/>
                <w:sz w:val="22"/>
                <w:szCs w:val="22"/>
              </w:rPr>
              <w:t>p-value</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32FCB011">
            <w:pPr>
              <w:spacing w:after="200" w:line="276" w:lineRule="auto"/>
            </w:pPr>
            <w:r/>
            <w:r>
              <w:rPr>
                <w:rFonts w:ascii="Cambria" w:hAnsi="Cambria" w:eastAsia="ＭＳ 明朝" w:cs="Cambria" w:asciiTheme="minorHAnsi" w:hAnsiTheme="minorHAnsi" w:eastAsiaTheme="minorEastAsia"/>
                <w:b/>
                <w:bCs/>
                <w:sz w:val="22"/>
                <w:szCs w:val="22"/>
              </w:rPr>
              <w:t>Age, years, mean ± SD</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065611D">
            <w:pPr>
              <w:spacing w:after="200" w:line="276" w:lineRule="auto"/>
            </w:pPr>
            <w:r/>
            <w:r>
              <w:rPr>
                <w:rFonts w:ascii="Cambria" w:hAnsi="Cambria" w:eastAsia="ＭＳ 明朝" w:cs="Cambria" w:asciiTheme="minorHAnsi" w:hAnsiTheme="minorHAnsi" w:eastAsiaTheme="minorEastAsia"/>
                <w:sz w:val="22"/>
                <w:szCs w:val="22"/>
              </w:rPr>
              <w:t>57.1 ± 12.1</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14121292">
            <w:pPr>
              <w:spacing w:after="200" w:line="276" w:lineRule="auto"/>
            </w:pPr>
            <w:r/>
            <w:r>
              <w:rPr>
                <w:rFonts w:ascii="Cambria" w:hAnsi="Cambria" w:eastAsia="ＭＳ 明朝" w:cs="Cambria" w:asciiTheme="minorHAnsi" w:hAnsiTheme="minorHAnsi" w:eastAsiaTheme="minorEastAsia"/>
                <w:sz w:val="22"/>
                <w:szCs w:val="22"/>
              </w:rPr>
              <w:t>59.5 ± 12.7</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62A3AAC">
            <w:pPr>
              <w:spacing w:after="200" w:line="276" w:lineRule="auto"/>
            </w:pPr>
            <w:r/>
            <w:r>
              <w:rPr>
                <w:rFonts w:ascii="Cambria" w:hAnsi="Cambria" w:eastAsia="ＭＳ 明朝" w:cs="Cambria" w:asciiTheme="minorHAnsi" w:hAnsiTheme="minorHAnsi" w:eastAsiaTheme="minorEastAsia"/>
                <w:sz w:val="22"/>
                <w:szCs w:val="22"/>
              </w:rPr>
              <w:t>&lt;0.001</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1CFA4489">
            <w:pPr>
              <w:spacing w:after="200" w:line="276" w:lineRule="auto"/>
            </w:pPr>
            <w:r/>
            <w:r>
              <w:rPr>
                <w:rFonts w:ascii="Cambria" w:hAnsi="Cambria" w:eastAsia="ＭＳ 明朝" w:cs="Cambria" w:asciiTheme="minorHAnsi" w:hAnsiTheme="minorHAnsi" w:eastAsiaTheme="minorEastAsia"/>
                <w:b/>
                <w:bCs/>
                <w:sz w:val="22"/>
                <w:szCs w:val="22"/>
              </w:rPr>
              <w:t>Age, years, range</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58844713">
            <w:pPr>
              <w:spacing w:after="200" w:line="276" w:lineRule="auto"/>
            </w:pPr>
            <w:r/>
            <w:r>
              <w:rPr>
                <w:rFonts w:ascii="Cambria" w:hAnsi="Cambria" w:eastAsia="ＭＳ 明朝" w:cs="Cambria" w:asciiTheme="minorHAnsi" w:hAnsiTheme="minorHAnsi" w:eastAsiaTheme="minorEastAsia"/>
                <w:sz w:val="22"/>
                <w:szCs w:val="22"/>
              </w:rPr>
              <w:t>20–91</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B6A001F">
            <w:pPr>
              <w:spacing w:after="200" w:line="276" w:lineRule="auto"/>
            </w:pPr>
            <w:r/>
            <w:r>
              <w:rPr>
                <w:rFonts w:ascii="Cambria" w:hAnsi="Cambria" w:eastAsia="ＭＳ 明朝" w:cs="Cambria" w:asciiTheme="minorHAnsi" w:hAnsiTheme="minorHAnsi" w:eastAsiaTheme="minorEastAsia"/>
                <w:sz w:val="22"/>
                <w:szCs w:val="22"/>
              </w:rPr>
              <w:t>20–90</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745E8D3">
            <w:pPr>
              <w:spacing w:after="200" w:line="276" w:lineRule="auto"/>
            </w:pPr>
            <w:r/>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9483C62">
            <w:pPr>
              <w:spacing w:after="200" w:line="276" w:lineRule="auto"/>
            </w:pPr>
            <w:r/>
            <w:r>
              <w:rPr>
                <w:rFonts w:ascii="Cambria" w:hAnsi="Cambria" w:eastAsia="ＭＳ 明朝" w:cs="Cambria" w:asciiTheme="minorHAnsi" w:hAnsiTheme="minorHAnsi" w:eastAsiaTheme="minorEastAsia"/>
                <w:b/>
                <w:bCs/>
                <w:sz w:val="22"/>
                <w:szCs w:val="22"/>
              </w:rPr>
              <w:t>Sex, n (%)</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100155A">
            <w:pPr>
              <w:spacing w:after="200" w:line="276" w:lineRule="auto"/>
            </w:pPr>
            <w:r/>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2A91DC5">
            <w:pPr>
              <w:spacing w:after="200" w:line="276" w:lineRule="auto"/>
            </w:pPr>
            <w:r/>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7EEF688">
            <w:pPr>
              <w:spacing w:after="200" w:line="276" w:lineRule="auto"/>
            </w:pPr>
            <w:r/>
            <w:r>
              <w:rPr>
                <w:rFonts w:ascii="Cambria" w:hAnsi="Cambria" w:eastAsia="ＭＳ 明朝" w:cs="Cambria" w:asciiTheme="minorHAnsi" w:hAnsiTheme="minorHAnsi" w:eastAsiaTheme="minorEastAsia"/>
                <w:sz w:val="22"/>
                <w:szCs w:val="22"/>
              </w:rPr>
              <w:t>&lt;0.001</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1802F39A">
            <w:pPr>
              <w:spacing w:after="200" w:line="276" w:lineRule="auto"/>
            </w:pPr>
            <w:r/>
            <w:r>
              <w:rPr>
                <w:rFonts w:ascii="Cambria" w:hAnsi="Cambria" w:eastAsia="ＭＳ 明朝" w:cs="Cambria" w:asciiTheme="minorHAnsi" w:hAnsiTheme="minorHAnsi" w:eastAsiaTheme="minorEastAsia"/>
                <w:b/>
                <w:bCs/>
                <w:sz w:val="22"/>
                <w:szCs w:val="22"/>
              </w:rPr>
              <w:t>— Female</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B368BE9">
            <w:pPr>
              <w:spacing w:after="200" w:line="276" w:lineRule="auto"/>
            </w:pPr>
            <w:r/>
            <w:r>
              <w:rPr>
                <w:rFonts w:ascii="Cambria" w:hAnsi="Cambria" w:eastAsia="ＭＳ 明朝" w:cs="Cambria" w:asciiTheme="minorHAnsi" w:hAnsiTheme="minorHAnsi" w:eastAsiaTheme="minorEastAsia"/>
                <w:sz w:val="22"/>
                <w:szCs w:val="22"/>
              </w:rPr>
              <w:t>698 (64.2)</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2E4EDBF">
            <w:pPr>
              <w:spacing w:after="200" w:line="276" w:lineRule="auto"/>
            </w:pPr>
            <w:r/>
            <w:r>
              <w:rPr>
                <w:rFonts w:ascii="Cambria" w:hAnsi="Cambria" w:eastAsia="ＭＳ 明朝" w:cs="Cambria" w:asciiTheme="minorHAnsi" w:hAnsiTheme="minorHAnsi" w:eastAsiaTheme="minorEastAsia"/>
                <w:sz w:val="22"/>
                <w:szCs w:val="22"/>
              </w:rPr>
              <w:t>498 (53.8)</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0B741F85">
            <w:pPr>
              <w:spacing w:after="200" w:line="276" w:lineRule="auto"/>
            </w:pPr>
            <w:r/>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FEC89AE">
            <w:pPr>
              <w:spacing w:after="200" w:line="276" w:lineRule="auto"/>
            </w:pPr>
            <w:r/>
            <w:r>
              <w:rPr>
                <w:rFonts w:ascii="Cambria" w:hAnsi="Cambria" w:eastAsia="ＭＳ 明朝" w:cs="Cambria" w:asciiTheme="minorHAnsi" w:hAnsiTheme="minorHAnsi" w:eastAsiaTheme="minorEastAsia"/>
                <w:b/>
                <w:bCs/>
                <w:sz w:val="22"/>
                <w:szCs w:val="22"/>
              </w:rPr>
              <w:t>— Male</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0598A83D">
            <w:pPr>
              <w:spacing w:after="200" w:line="276" w:lineRule="auto"/>
            </w:pPr>
            <w:r/>
            <w:r>
              <w:rPr>
                <w:rFonts w:ascii="Cambria" w:hAnsi="Cambria" w:eastAsia="ＭＳ 明朝" w:cs="Cambria" w:asciiTheme="minorHAnsi" w:hAnsiTheme="minorHAnsi" w:eastAsiaTheme="minorEastAsia"/>
                <w:sz w:val="22"/>
                <w:szCs w:val="22"/>
              </w:rPr>
              <w:t>390 (35.8)</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522F40F8">
            <w:pPr>
              <w:spacing w:after="200" w:line="276" w:lineRule="auto"/>
            </w:pPr>
            <w:r/>
            <w:r>
              <w:rPr>
                <w:rFonts w:ascii="Cambria" w:hAnsi="Cambria" w:eastAsia="ＭＳ 明朝" w:cs="Cambria" w:asciiTheme="minorHAnsi" w:hAnsiTheme="minorHAnsi" w:eastAsiaTheme="minorEastAsia"/>
                <w:sz w:val="22"/>
                <w:szCs w:val="22"/>
              </w:rPr>
              <w:t>427 (46.2)</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50148338">
            <w:pPr>
              <w:spacing w:after="200" w:line="276" w:lineRule="auto"/>
            </w:pPr>
            <w:r/>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158EF650">
            <w:pPr>
              <w:spacing w:after="200" w:line="276" w:lineRule="auto"/>
            </w:pPr>
            <w:r/>
            <w:r>
              <w:rPr>
                <w:rFonts w:ascii="Cambria" w:hAnsi="Cambria" w:eastAsia="ＭＳ 明朝" w:cs="Cambria" w:asciiTheme="minorHAnsi" w:hAnsiTheme="minorHAnsi" w:eastAsiaTheme="minorEastAsia"/>
                <w:b/>
                <w:bCs/>
                <w:sz w:val="22"/>
                <w:szCs w:val="22"/>
              </w:rPr>
              <w:t>Height, cm, mean ± SD</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6A915BD">
            <w:pPr>
              <w:spacing w:after="200" w:line="276" w:lineRule="auto"/>
            </w:pPr>
            <w:r/>
            <w:r>
              <w:rPr>
                <w:rFonts w:ascii="Cambria" w:hAnsi="Cambria" w:eastAsia="ＭＳ 明朝" w:cs="Cambria" w:asciiTheme="minorHAnsi" w:hAnsiTheme="minorHAnsi" w:eastAsiaTheme="minorEastAsia"/>
                <w:sz w:val="22"/>
                <w:szCs w:val="22"/>
              </w:rPr>
              <w:t>162.2 ± 8.2</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4241C170">
            <w:pPr>
              <w:spacing w:after="200" w:line="276" w:lineRule="auto"/>
            </w:pPr>
            <w:r/>
            <w:r>
              <w:rPr>
                <w:rFonts w:ascii="Cambria" w:hAnsi="Cambria" w:eastAsia="ＭＳ 明朝" w:cs="Cambria" w:asciiTheme="minorHAnsi" w:hAnsiTheme="minorHAnsi" w:eastAsiaTheme="minorEastAsia"/>
                <w:sz w:val="22"/>
                <w:szCs w:val="22"/>
              </w:rPr>
              <w:t>162.5 ± 8.6</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D644742">
            <w:pPr>
              <w:spacing w:after="200" w:line="276" w:lineRule="auto"/>
            </w:pPr>
            <w:r/>
            <w:r>
              <w:rPr>
                <w:rFonts w:ascii="Cambria" w:hAnsi="Cambria" w:eastAsia="ＭＳ 明朝" w:cs="Cambria" w:asciiTheme="minorHAnsi" w:hAnsiTheme="minorHAnsi" w:eastAsiaTheme="minorEastAsia"/>
                <w:sz w:val="22"/>
                <w:szCs w:val="22"/>
              </w:rPr>
              <w:t>0.414</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AD1B17E">
            <w:pPr>
              <w:spacing w:after="200" w:line="276" w:lineRule="auto"/>
            </w:pPr>
            <w:r/>
            <w:r>
              <w:rPr>
                <w:rFonts w:ascii="Cambria" w:hAnsi="Cambria" w:eastAsia="ＭＳ 明朝" w:cs="Cambria" w:asciiTheme="minorHAnsi" w:hAnsiTheme="minorHAnsi" w:eastAsiaTheme="minorEastAsia"/>
                <w:b/>
                <w:bCs/>
                <w:sz w:val="22"/>
                <w:szCs w:val="22"/>
              </w:rPr>
              <w:t>Weight, kg, mean ± SD</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99B3AF7">
            <w:pPr>
              <w:spacing w:after="200" w:line="276" w:lineRule="auto"/>
            </w:pPr>
            <w:r/>
            <w:r>
              <w:rPr>
                <w:rFonts w:ascii="Cambria" w:hAnsi="Cambria" w:eastAsia="ＭＳ 明朝" w:cs="Cambria" w:asciiTheme="minorHAnsi" w:hAnsiTheme="minorHAnsi" w:eastAsiaTheme="minorEastAsia"/>
                <w:sz w:val="22"/>
                <w:szCs w:val="22"/>
              </w:rPr>
              <w:t>61.9 ± 10.6</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5D58B83C">
            <w:pPr>
              <w:spacing w:after="200" w:line="276" w:lineRule="auto"/>
            </w:pPr>
            <w:r/>
            <w:r>
              <w:rPr>
                <w:rFonts w:ascii="Cambria" w:hAnsi="Cambria" w:eastAsia="ＭＳ 明朝" w:cs="Cambria" w:asciiTheme="minorHAnsi" w:hAnsiTheme="minorHAnsi" w:eastAsiaTheme="minorEastAsia"/>
                <w:sz w:val="22"/>
                <w:szCs w:val="22"/>
              </w:rPr>
              <w:t>61.8 ± 11.4</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34279BD9">
            <w:pPr>
              <w:spacing w:after="200" w:line="276" w:lineRule="auto"/>
            </w:pPr>
            <w:r/>
            <w:r>
              <w:rPr>
                <w:rFonts w:ascii="Cambria" w:hAnsi="Cambria" w:eastAsia="ＭＳ 明朝" w:cs="Cambria" w:asciiTheme="minorHAnsi" w:hAnsiTheme="minorHAnsi" w:eastAsiaTheme="minorEastAsia"/>
                <w:sz w:val="22"/>
                <w:szCs w:val="22"/>
              </w:rPr>
              <w:t>0.843</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332DDC36">
            <w:pPr>
              <w:spacing w:after="200" w:line="276" w:lineRule="auto"/>
            </w:pPr>
            <w:r/>
            <w:r>
              <w:rPr>
                <w:rFonts w:ascii="Cambria" w:hAnsi="Cambria" w:eastAsia="ＭＳ 明朝" w:cs="Cambria" w:asciiTheme="minorHAnsi" w:hAnsiTheme="minorHAnsi" w:eastAsiaTheme="minorEastAsia"/>
                <w:b/>
                <w:bCs/>
                <w:sz w:val="22"/>
                <w:szCs w:val="22"/>
              </w:rPr>
              <w:t>BMI, kg/m², mean ± SD</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0DF0C4E2">
            <w:pPr>
              <w:spacing w:after="200" w:line="276" w:lineRule="auto"/>
            </w:pPr>
            <w:r/>
            <w:r>
              <w:rPr>
                <w:rFonts w:ascii="Cambria" w:hAnsi="Cambria" w:eastAsia="ＭＳ 明朝" w:cs="Cambria" w:asciiTheme="minorHAnsi" w:hAnsiTheme="minorHAnsi" w:eastAsiaTheme="minorEastAsia"/>
                <w:sz w:val="22"/>
                <w:szCs w:val="22"/>
              </w:rPr>
              <w:t>23.5 ± 3.1</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1C8F1CD">
            <w:pPr>
              <w:spacing w:after="200" w:line="276" w:lineRule="auto"/>
            </w:pPr>
            <w:r/>
            <w:r>
              <w:rPr>
                <w:rFonts w:ascii="Cambria" w:hAnsi="Cambria" w:eastAsia="ＭＳ 明朝" w:cs="Cambria" w:asciiTheme="minorHAnsi" w:hAnsiTheme="minorHAnsi" w:eastAsiaTheme="minorEastAsia"/>
                <w:sz w:val="22"/>
                <w:szCs w:val="22"/>
              </w:rPr>
              <w:t>23.3 ± 3.4</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1B85938E">
            <w:pPr>
              <w:spacing w:after="200" w:line="276" w:lineRule="auto"/>
            </w:pPr>
            <w:r/>
            <w:r>
              <w:rPr>
                <w:rFonts w:ascii="Cambria" w:hAnsi="Cambria" w:eastAsia="ＭＳ 明朝" w:cs="Cambria" w:asciiTheme="minorHAnsi" w:hAnsiTheme="minorHAnsi" w:eastAsiaTheme="minorEastAsia"/>
                <w:sz w:val="22"/>
                <w:szCs w:val="22"/>
              </w:rPr>
              <w:t>0.353</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140C36DB">
            <w:pPr>
              <w:spacing w:after="200" w:line="276" w:lineRule="auto"/>
            </w:pPr>
            <w:r/>
            <w:r>
              <w:rPr>
                <w:rFonts w:ascii="Cambria" w:hAnsi="Cambria" w:eastAsia="ＭＳ 明朝" w:cs="Cambria" w:asciiTheme="minorHAnsi" w:hAnsiTheme="minorHAnsi" w:eastAsiaTheme="minorEastAsia"/>
                <w:b/>
                <w:bCs/>
                <w:sz w:val="22"/>
                <w:szCs w:val="22"/>
              </w:rPr>
              <w:t>Hypertension, n (%)</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7DF50E0">
            <w:pPr>
              <w:spacing w:after="200" w:line="276" w:lineRule="auto"/>
            </w:pPr>
            <w:r/>
            <w:r>
              <w:rPr>
                <w:rFonts w:ascii="Cambria" w:hAnsi="Cambria" w:eastAsia="ＭＳ 明朝" w:cs="Cambria" w:asciiTheme="minorHAnsi" w:hAnsiTheme="minorHAnsi" w:eastAsiaTheme="minorEastAsia"/>
                <w:sz w:val="22"/>
                <w:szCs w:val="22"/>
              </w:rPr>
              <w:t>329 (30.2)</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6D82ED9">
            <w:pPr>
              <w:spacing w:after="200" w:line="276" w:lineRule="auto"/>
            </w:pPr>
            <w:r/>
            <w:r>
              <w:rPr>
                <w:rFonts w:ascii="Cambria" w:hAnsi="Cambria" w:eastAsia="ＭＳ 明朝" w:cs="Cambria" w:asciiTheme="minorHAnsi" w:hAnsiTheme="minorHAnsi" w:eastAsiaTheme="minorEastAsia"/>
                <w:sz w:val="22"/>
                <w:szCs w:val="22"/>
              </w:rPr>
              <w:t>425 (45.9)</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01D4F40">
            <w:pPr>
              <w:spacing w:after="200" w:line="276" w:lineRule="auto"/>
            </w:pPr>
            <w:r/>
            <w:r>
              <w:rPr>
                <w:rFonts w:ascii="Cambria" w:hAnsi="Cambria" w:eastAsia="ＭＳ 明朝" w:cs="Cambria" w:asciiTheme="minorHAnsi" w:hAnsiTheme="minorHAnsi" w:eastAsiaTheme="minorEastAsia"/>
                <w:sz w:val="22"/>
                <w:szCs w:val="22"/>
              </w:rPr>
              <w:t>&lt;0.001</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40DE94EE">
            <w:pPr>
              <w:spacing w:after="200" w:line="276" w:lineRule="auto"/>
            </w:pPr>
            <w:r/>
            <w:r>
              <w:rPr>
                <w:rFonts w:ascii="Cambria" w:hAnsi="Cambria" w:eastAsia="ＭＳ 明朝" w:cs="Cambria" w:asciiTheme="minorHAnsi" w:hAnsiTheme="minorHAnsi" w:eastAsiaTheme="minorEastAsia"/>
                <w:b/>
                <w:bCs/>
                <w:sz w:val="22"/>
                <w:szCs w:val="22"/>
              </w:rPr>
              <w:t>Diabetes mellitus, n (%)</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329BF95B">
            <w:pPr>
              <w:spacing w:after="200" w:line="276" w:lineRule="auto"/>
            </w:pPr>
            <w:r/>
            <w:r>
              <w:rPr>
                <w:rFonts w:ascii="Cambria" w:hAnsi="Cambria" w:eastAsia="ＭＳ 明朝" w:cs="Cambria" w:asciiTheme="minorHAnsi" w:hAnsiTheme="minorHAnsi" w:eastAsiaTheme="minorEastAsia"/>
                <w:sz w:val="22"/>
                <w:szCs w:val="22"/>
              </w:rPr>
              <w:t>204 (18.8)</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611E125">
            <w:pPr>
              <w:spacing w:after="200" w:line="276" w:lineRule="auto"/>
            </w:pPr>
            <w:r/>
            <w:r>
              <w:rPr>
                <w:rFonts w:ascii="Cambria" w:hAnsi="Cambria" w:eastAsia="ＭＳ 明朝" w:cs="Cambria" w:asciiTheme="minorHAnsi" w:hAnsiTheme="minorHAnsi" w:eastAsiaTheme="minorEastAsia"/>
                <w:sz w:val="22"/>
                <w:szCs w:val="22"/>
              </w:rPr>
              <w:t>285 (30.8)</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1E9C8B8">
            <w:pPr>
              <w:spacing w:after="200" w:line="276" w:lineRule="auto"/>
            </w:pPr>
            <w:r/>
            <w:r>
              <w:rPr>
                <w:rFonts w:ascii="Cambria" w:hAnsi="Cambria" w:eastAsia="ＭＳ 明朝" w:cs="Cambria" w:asciiTheme="minorHAnsi" w:hAnsiTheme="minorHAnsi" w:eastAsiaTheme="minorEastAsia"/>
                <w:sz w:val="22"/>
                <w:szCs w:val="22"/>
              </w:rPr>
              <w:t>&lt;0.001</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4F2F3FC0">
            <w:pPr>
              <w:spacing w:after="200" w:line="276" w:lineRule="auto"/>
            </w:pPr>
            <w:r/>
            <w:r>
              <w:rPr>
                <w:rFonts w:ascii="Cambria" w:hAnsi="Cambria" w:eastAsia="ＭＳ 明朝" w:cs="Cambria" w:asciiTheme="minorHAnsi" w:hAnsiTheme="minorHAnsi" w:eastAsiaTheme="minorEastAsia"/>
                <w:b/>
                <w:bCs/>
                <w:sz w:val="22"/>
                <w:szCs w:val="22"/>
              </w:rPr>
              <w:t>Chronic kidney disease, n (%)</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0555C0CE">
            <w:pPr>
              <w:spacing w:after="200" w:line="276" w:lineRule="auto"/>
            </w:pPr>
            <w:r/>
            <w:r>
              <w:rPr>
                <w:rFonts w:ascii="Cambria" w:hAnsi="Cambria" w:eastAsia="ＭＳ 明朝" w:cs="Cambria" w:asciiTheme="minorHAnsi" w:hAnsiTheme="minorHAnsi" w:eastAsiaTheme="minorEastAsia"/>
                <w:sz w:val="22"/>
                <w:szCs w:val="22"/>
              </w:rPr>
              <w:t>83 (7.6)</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09E94746">
            <w:pPr>
              <w:spacing w:after="200" w:line="276" w:lineRule="auto"/>
            </w:pPr>
            <w:r/>
            <w:r>
              <w:rPr>
                <w:rFonts w:ascii="Cambria" w:hAnsi="Cambria" w:eastAsia="ＭＳ 明朝" w:cs="Cambria" w:asciiTheme="minorHAnsi" w:hAnsiTheme="minorHAnsi" w:eastAsiaTheme="minorEastAsia"/>
                <w:sz w:val="22"/>
                <w:szCs w:val="22"/>
              </w:rPr>
              <w:t>168 (18.2)</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0291BFFC">
            <w:pPr>
              <w:spacing w:after="200" w:line="276" w:lineRule="auto"/>
            </w:pPr>
            <w:r/>
            <w:r>
              <w:rPr>
                <w:rFonts w:ascii="Cambria" w:hAnsi="Cambria" w:eastAsia="ＭＳ 明朝" w:cs="Cambria" w:asciiTheme="minorHAnsi" w:hAnsiTheme="minorHAnsi" w:eastAsiaTheme="minorEastAsia"/>
                <w:sz w:val="22"/>
                <w:szCs w:val="22"/>
              </w:rPr>
              <w:t>&lt;0.001</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6FA1154">
            <w:pPr>
              <w:spacing w:after="200" w:line="276" w:lineRule="auto"/>
            </w:pPr>
            <w:r/>
            <w:r>
              <w:rPr>
                <w:rFonts w:ascii="Cambria" w:hAnsi="Cambria" w:eastAsia="ＭＳ 明朝" w:cs="Cambria" w:asciiTheme="minorHAnsi" w:hAnsiTheme="minorHAnsi" w:eastAsiaTheme="minorEastAsia"/>
                <w:b/>
                <w:bCs/>
                <w:sz w:val="22"/>
                <w:szCs w:val="22"/>
              </w:rPr>
              <w:t>CT scanner vendor, n (%)</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D4CC629">
            <w:pPr>
              <w:spacing w:after="200" w:line="276" w:lineRule="auto"/>
            </w:pPr>
            <w:r/>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4A24A5E">
            <w:pPr>
              <w:spacing w:after="200" w:line="276" w:lineRule="auto"/>
            </w:pPr>
            <w:r/>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4304F756">
            <w:pPr>
              <w:spacing w:after="200" w:line="276" w:lineRule="auto"/>
            </w:pPr>
            <w:r/>
            <w:r>
              <w:rPr>
                <w:rFonts w:ascii="Cambria" w:hAnsi="Cambria" w:eastAsia="ＭＳ 明朝" w:cs="Cambria" w:asciiTheme="minorHAnsi" w:hAnsiTheme="minorHAnsi" w:eastAsiaTheme="minorEastAsia"/>
                <w:sz w:val="22"/>
                <w:szCs w:val="22"/>
              </w:rPr>
              <w:t>&lt;0.001</w:t>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3E523FC0">
            <w:pPr>
              <w:spacing w:after="200" w:line="276" w:lineRule="auto"/>
            </w:pPr>
            <w:r/>
            <w:r>
              <w:rPr>
                <w:rFonts w:ascii="Cambria" w:hAnsi="Cambria" w:eastAsia="ＭＳ 明朝" w:cs="Cambria" w:asciiTheme="minorHAnsi" w:hAnsiTheme="minorHAnsi" w:eastAsiaTheme="minorEastAsia"/>
                <w:b/>
                <w:bCs/>
                <w:sz w:val="22"/>
                <w:szCs w:val="22"/>
              </w:rPr>
              <w:t>— Siemens</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01A4FDF2">
            <w:pPr>
              <w:spacing w:after="200" w:line="276" w:lineRule="auto"/>
            </w:pPr>
            <w:r/>
            <w:r>
              <w:rPr>
                <w:rFonts w:ascii="Cambria" w:hAnsi="Cambria" w:eastAsia="ＭＳ 明朝" w:cs="Cambria" w:asciiTheme="minorHAnsi" w:hAnsiTheme="minorHAnsi" w:eastAsiaTheme="minorEastAsia"/>
                <w:sz w:val="22"/>
                <w:szCs w:val="22"/>
              </w:rPr>
              <w:t>566 (52.0)</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09E05D4D">
            <w:pPr>
              <w:spacing w:after="200" w:line="276" w:lineRule="auto"/>
            </w:pPr>
            <w:r/>
            <w:r>
              <w:rPr>
                <w:rFonts w:ascii="Cambria" w:hAnsi="Cambria" w:eastAsia="ＭＳ 明朝" w:cs="Cambria" w:asciiTheme="minorHAnsi" w:hAnsiTheme="minorHAnsi" w:eastAsiaTheme="minorEastAsia"/>
                <w:sz w:val="22"/>
                <w:szCs w:val="22"/>
              </w:rPr>
              <w:t>568 (61.4)</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5927161E">
            <w:pPr>
              <w:spacing w:after="200" w:line="276" w:lineRule="auto"/>
            </w:pPr>
            <w:r/>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65DF658">
            <w:pPr>
              <w:spacing w:after="200" w:line="276" w:lineRule="auto"/>
            </w:pPr>
            <w:r/>
            <w:r>
              <w:rPr>
                <w:rFonts w:ascii="Cambria" w:hAnsi="Cambria" w:eastAsia="ＭＳ 明朝" w:cs="Cambria" w:asciiTheme="minorHAnsi" w:hAnsiTheme="minorHAnsi" w:eastAsiaTheme="minorEastAsia"/>
                <w:b/>
                <w:bCs/>
                <w:sz w:val="22"/>
                <w:szCs w:val="22"/>
              </w:rPr>
              <w:t>— GE</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91C9330">
            <w:pPr>
              <w:spacing w:after="200" w:line="276" w:lineRule="auto"/>
            </w:pPr>
            <w:r/>
            <w:r>
              <w:rPr>
                <w:rFonts w:ascii="Cambria" w:hAnsi="Cambria" w:eastAsia="ＭＳ 明朝" w:cs="Cambria" w:asciiTheme="minorHAnsi" w:hAnsiTheme="minorHAnsi" w:eastAsiaTheme="minorEastAsia"/>
                <w:sz w:val="22"/>
                <w:szCs w:val="22"/>
              </w:rPr>
              <w:t>318 (29.2)</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0823E31A">
            <w:pPr>
              <w:spacing w:after="200" w:line="276" w:lineRule="auto"/>
            </w:pPr>
            <w:r/>
            <w:r>
              <w:rPr>
                <w:rFonts w:ascii="Cambria" w:hAnsi="Cambria" w:eastAsia="ＭＳ 明朝" w:cs="Cambria" w:asciiTheme="minorHAnsi" w:hAnsiTheme="minorHAnsi" w:eastAsiaTheme="minorEastAsia"/>
                <w:sz w:val="22"/>
                <w:szCs w:val="22"/>
              </w:rPr>
              <w:t>219 (23.7)</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7E89090">
            <w:pPr>
              <w:spacing w:after="200" w:line="276" w:lineRule="auto"/>
            </w:pPr>
            <w:r/>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719C1C9B">
            <w:pPr>
              <w:spacing w:after="200" w:line="276" w:lineRule="auto"/>
            </w:pPr>
            <w:r/>
            <w:r>
              <w:rPr>
                <w:rFonts w:ascii="Cambria" w:hAnsi="Cambria" w:eastAsia="ＭＳ 明朝" w:cs="Cambria" w:asciiTheme="minorHAnsi" w:hAnsiTheme="minorHAnsi" w:eastAsiaTheme="minorEastAsia"/>
                <w:b/>
                <w:bCs/>
                <w:sz w:val="22"/>
                <w:szCs w:val="22"/>
              </w:rPr>
              <w:t>— Philips</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7126942">
            <w:pPr>
              <w:spacing w:after="200" w:line="276" w:lineRule="auto"/>
            </w:pPr>
            <w:r/>
            <w:r>
              <w:rPr>
                <w:rFonts w:ascii="Cambria" w:hAnsi="Cambria" w:eastAsia="ＭＳ 明朝" w:cs="Cambria" w:asciiTheme="minorHAnsi" w:hAnsiTheme="minorHAnsi" w:eastAsiaTheme="minorEastAsia"/>
                <w:sz w:val="22"/>
                <w:szCs w:val="22"/>
              </w:rPr>
              <w:t>202 (18.6)</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4634BBDE">
            <w:pPr>
              <w:spacing w:after="200" w:line="276" w:lineRule="auto"/>
            </w:pPr>
            <w:r/>
            <w:r>
              <w:rPr>
                <w:rFonts w:ascii="Cambria" w:hAnsi="Cambria" w:eastAsia="ＭＳ 明朝" w:cs="Cambria" w:asciiTheme="minorHAnsi" w:hAnsiTheme="minorHAnsi" w:eastAsiaTheme="minorEastAsia"/>
                <w:sz w:val="22"/>
                <w:szCs w:val="22"/>
              </w:rPr>
              <w:t>135 (14.6)</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112200A3">
            <w:pPr>
              <w:spacing w:after="200" w:line="276" w:lineRule="auto"/>
            </w:pPr>
            <w:r/>
            <w:r/>
          </w:p>
        </w:tc>
      </w:tr>
      <w:tr>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5B916022">
            <w:pPr>
              <w:spacing w:after="200" w:line="276" w:lineRule="auto"/>
            </w:pPr>
            <w:r/>
            <w:r>
              <w:rPr>
                <w:rFonts w:ascii="Cambria" w:hAnsi="Cambria" w:eastAsia="ＭＳ 明朝" w:cs="Cambria" w:asciiTheme="minorHAnsi" w:hAnsiTheme="minorHAnsi" w:eastAsiaTheme="minorEastAsia"/>
                <w:b/>
                <w:bCs/>
                <w:sz w:val="22"/>
                <w:szCs w:val="22"/>
              </w:rPr>
              <w:t>— Canon</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242F4DEF">
            <w:pPr>
              <w:spacing w:after="200" w:line="276" w:lineRule="auto"/>
            </w:pPr>
            <w:r/>
            <w:r>
              <w:rPr>
                <w:rFonts w:ascii="Cambria" w:hAnsi="Cambria" w:eastAsia="ＭＳ 明朝" w:cs="Cambria" w:asciiTheme="minorHAnsi" w:hAnsiTheme="minorHAnsi" w:eastAsiaTheme="minorEastAsia"/>
                <w:sz w:val="22"/>
                <w:szCs w:val="22"/>
              </w:rPr>
              <w:t>2 (0.2)</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1D6930E5">
            <w:pPr>
              <w:spacing w:after="200" w:line="276" w:lineRule="auto"/>
            </w:pPr>
            <w:r/>
            <w:r>
              <w:rPr>
                <w:rFonts w:ascii="Cambria" w:hAnsi="Cambria" w:eastAsia="ＭＳ 明朝" w:cs="Cambria" w:asciiTheme="minorHAnsi" w:hAnsiTheme="minorHAnsi" w:eastAsiaTheme="minorEastAsia"/>
                <w:sz w:val="22"/>
                <w:szCs w:val="22"/>
              </w:rPr>
              <w:t>3 (0.3)</w:t>
            </w:r>
          </w:p>
        </w:tc>
        <w:tc>
          <w:tcPr>
            <w:tcW w:w="2160" w:type="dxa"/>
            <w:tcBorders>
              <w:top w:val="single" w:sz="4" w:space="0" w:color="7F7F7F"/>
              <w:left w:val="single" w:sz="4" w:space="0" w:color="7F7F7F"/>
              <w:bottom w:val="single" w:sz="4" w:space="0" w:color="7F7F7F"/>
              <w:right w:val="single" w:sz="4" w:space="0" w:color="7F7F7F"/>
            </w:tcBorders>
            <w:tcMar>
              <w:top w:w="0" w:type="dxa"/>
              <w:left w:w="108" w:type="dxa"/>
              <w:bottom w:w="0" w:type="dxa"/>
              <w:right w:w="108" w:type="dxa"/>
            </w:tcMar>
          </w:tcPr>
          <w:p w14:paraId="6D4C17E6">
            <w:pPr>
              <w:spacing w:after="200" w:line="276" w:lineRule="auto"/>
            </w:pPr>
            <w:r/>
            <w:r/>
          </w:p>
        </w:tc>
      </w:tr>
    </w:tbl>
    <w:p w14:paraId="0A1636B3">
      <w:pPr>
        <w:spacing w:after="200" w:line="276" w:lineRule="auto"/>
      </w:pPr>
    </w:p>
    <w:p w14:paraId="37F87EE8">
      <w:pPr>
        <w:pStyle w:val="1"/>
      </w:pPr>
      <w:r>
        <w:rPr>
          <w:rFonts w:ascii="Calibri" w:hAnsi="Calibri" w:eastAsia="ＭＳ ゴシック" w:cs="Calibri" w:asciiTheme="majorHAnsi" w:hAnsiTheme="majorHAnsi" w:eastAsiaTheme="majorEastAsia"/>
          <w:b/>
          <w:bCs/>
          <w:color w:val="365F91" w:themeColor="accent1" w:themeShade="BF"/>
          <w:sz w:val="28"/>
          <w:szCs w:val="28"/>
        </w:rPr>
        <w:t>CT Acquisition</w:t>
      </w:r>
    </w:p>
    <w:p w14:paraId="76BAE28D">
      <w:pPr>
        <w:spacing w:after="200" w:line="276" w:lineRule="auto"/>
      </w:pPr>
      <w:r>
        <w:rPr>
          <w:rFonts w:ascii="Cambria" w:hAnsi="Cambria" w:eastAsia="ＭＳ 明朝" w:cs="Cambria" w:asciiTheme="minorHAnsi" w:hAnsiTheme="minorHAnsi" w:eastAsiaTheme="minorEastAsia"/>
          <w:sz w:val="22"/>
          <w:szCs w:val="22"/>
        </w:rPr>
        <w:t>All abdominal CT examinations were acquired at a fixed tube voltage of 100 kVp using automatic exposure control (AEC), which modulates tube current in real time to maintain a target image-noise level rather than holding tube current fixed throughout the acquisition. Examinations were obtained on multiple commercially available multidetector CT scanners across the two sites, spanning Siemens (Sensation 64; SOMATOM Definition, Definition AS+, Definition Edge, Definition Flash, Force, Drive, go.Top), GE (Revolution CT, Revolution EVO, Revolution Frontier, LightSpeed VCT, Discovery CT750 HD, Optima CT660), Philips (Ingenuity Core 128, iCT 256), and Canon (Aquilion, Aquilion ONE) systems (Table 1).</w:t>
      </w:r>
    </w:p>
    <w:p w14:paraId="5EF767C8">
      <w:pPr>
        <w:pStyle w:val="1"/>
      </w:pPr>
      <w:r>
        <w:rPr>
          <w:rFonts w:ascii="Calibri" w:hAnsi="Calibri" w:eastAsia="ＭＳ ゴシック" w:cs="Calibri" w:asciiTheme="majorHAnsi" w:hAnsiTheme="majorHAnsi" w:eastAsiaTheme="majorEastAsia"/>
          <w:b/>
          <w:bCs/>
          <w:color w:val="365F91" w:themeColor="accent1" w:themeShade="BF"/>
          <w:sz w:val="28"/>
          <w:szCs w:val="28"/>
        </w:rPr>
        <w:t>AEC Curve Extraction and Prespecified AEC Score</w:t>
      </w:r>
    </w:p>
    <w:p w14:paraId="3614F282">
      <w:pPr>
        <w:spacing w:after="200" w:line="276" w:lineRule="auto"/>
      </w:pPr>
      <w:r>
        <w:rPr>
          <w:rFonts w:ascii="Cambria" w:hAnsi="Cambria" w:eastAsia="ＭＳ 明朝" w:cs="Cambria" w:asciiTheme="minorHAnsi" w:hAnsiTheme="minorHAnsi" w:eastAsiaTheme="minorEastAsia"/>
          <w:sz w:val="22"/>
          <w:szCs w:val="22"/>
        </w:rPr>
        <w:t>AEC-128 curve.—AEC modulates the tube current (mA) along the craniocaudal z-axis during each abdominal CT acquisition, keeping image noise roughly constant from slice to slice; because the current needed to achieve this depends on how much the patient attenuates the beam at each position, the resulting tube-current modulation curve carries information about the patient's cross-sectional attenuation, and by extension body habitus, at each slice position. We represented this curve at a fixed length of 128 points per patient, termed AEC-128, and used it as the source of the imaging-derived predictors evaluated in this study. To construct this fixed-length feature, the axial source series was first identified for each patient, excluding coronal/sagittal reformations, scout images, and dose reports, on the basis of slice count, DICOM Image Type, Series Description, and image orientation. An open-source, deep-learning-based segmentation tool, TotalSegmentator [4], was then applied to localize the liver and the bilateral hip bones, with the cranial-most liver slice and caudal-most hip slice defining the upper and lower boundaries of the analysis range; segmentation was used solely for this anatomical landmark localization, while tube-current values themselves were obtained directly from the DICOM header field X-Ray Tube Current. Tube-current values within this hip-bone-to-liver range were extracted in craniocaudal order and, because the resulting slice count varied across patients, resampled by linear interpolation to a fixed length of 128 points, yielding the AEC-128 curve used as the analytic unit in subsequent modeling.</w:t>
      </w:r>
    </w:p>
    <w:p w14:paraId="76B92440">
      <w:pPr>
        <w:spacing w:after="200" w:line="276" w:lineRule="auto"/>
      </w:pPr>
      <w:r>
        <w:rPr>
          <w:rFonts w:ascii="Cambria" w:hAnsi="Cambria" w:eastAsia="ＭＳ 明朝" w:cs="Cambria" w:asciiTheme="minorHAnsi" w:hAnsiTheme="minorHAnsi" w:eastAsiaTheme="minorEastAsia"/>
          <w:sz w:val="22"/>
          <w:szCs w:val="22"/>
        </w:rPr>
        <w:t>Mean mAs baseline.—As the simplest possible summary of this curve, we additionally computed, for each patient, the arithmetic mean of the 128 AEC-128 points — the mean tube current across the hip-to-liver range, hereafter mean mAs — following standard practice in time-series feature extraction [5]. Because the underlying DICOM field records instantaneous tube current (in mA) rather than a time-integrated tube current-time product, mean mAs is, strictly, a mean tube current rather than a true mAs value; we retain the mean mAs label for consistency with the model-comparison scheme described below (Study Endpoints), in which it serves as a single-number exposure baseline against which the added value of the full AEC-128 curve is judged.</w:t>
      </w:r>
    </w:p>
    <w:p w14:paraId="690578D0">
      <w:pPr>
        <w:spacing w:after="200" w:line="276" w:lineRule="auto"/>
      </w:pPr>
      <w:r>
        <w:rPr>
          <w:rFonts w:ascii="Cambria" w:hAnsi="Cambria" w:eastAsia="ＭＳ 明朝" w:cs="Cambria" w:asciiTheme="minorHAnsi" w:hAnsiTheme="minorHAnsi" w:eastAsiaTheme="minorEastAsia"/>
          <w:sz w:val="22"/>
          <w:szCs w:val="22"/>
        </w:rPr>
        <w:t>Prespecified FPCA AEC score.—The AEC-128 curve is a 128-dimensional variable per patient, but adjacent points are strongly autocorrelated, making it a functional data object rather than a set of independent measurements; entering all 128 points as independent variables would incur substantial multicollinearity and overfitting risk. We therefore prespecified a single, fixed-dimensional AEC score using functional principal component analysis (FPCA) [6], estimated once from the internal cohort and applied without refitting to the external cohort, so that the same score definition was used for every disease and every model in which an AEC term appeared, rather than being re-selected from multiple candidate representations for each disease (Statistical Analysis). The mean curve μ(z), for z = 1, …, 128, was first computed across all curves in the internal cohort, and each patient's deviation curve was obtained by subtracting this mean from the raw curve, dᵢ(z) = xᵢ(z) − μ(z). The 128 × 128 covariance matrix of the deviation curves was eigen-decomposed via singular value decomposition [7], using scikit-learn's PCA implementation for numerical stability, yielding orthonormal eigenfunctions φₖ and their associated eigenvalues λₖ, ranked by the proportion of variance explained; each patient's deviation curve was then projected onto each retained eigenfunction to obtain the component score, scoreᵢ,ₖ = Σᵣ dᵢ(z)·φₖ(z) — the FPCA score used as the AEC term in the logistic regression models below. The number of retained components was fixed, before any outcome modeling, using the Kneedle elbow algorithm [8] applied to the explained-variance scree plot of the internal-cohort curves: after normalizing the component index and the explained-variance ratio to a 0–1 scale, the elbow was defined as the point of maximal perpendicular distance from the line connecting the first and last components. In this cohort, PC1 alone accounted for 84.3% of total variance, PC1–2 for 94.8% cumulatively, and PC1–3 for 97.4% cumulatively, and the elbow coincided with PC3; the first three component scores, PC1 through PC3, were therefore fixed as the prespecified AEC score (Figure 2) and used, without modification, as the sole AEC term for every disease and every model family described below — in contrast to an outcome-supervised search over multiple candidate AEC representations, this single fixed score was defined independently of any disease outcome.</w:t>
      </w:r>
    </w:p>
    <w:p w14:paraId="2106DDDE">
      <w:pPr>
        <w:jc w:val="center"/>
      </w:pPr>
      <w:r>
        <w:drawing>
          <wp:inline distT="0" distB="0" distL="0" distR="0">
            <wp:extent cx="5943600" cy="380047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21"/>
                    <a:stretch>
                      <a:fillRect/>
                    </a:stretch>
                  </pic:blipFill>
                  <pic:spPr>
                    <a:xfrm>
                      <a:off x="0" y="0"/>
                      <a:ext cx="5943600" cy="3800475"/>
                    </a:xfrm>
                    <a:prstGeom prst="rect">
                      <a:avLst/>
                    </a:prstGeom>
                  </pic:spPr>
                </pic:pic>
              </a:graphicData>
            </a:graphic>
          </wp:inline>
        </w:drawing>
      </w:r>
    </w:p>
    <w:p w14:paraId="1CE0B40A">
      <w:pPr>
        <w:spacing w:after="200" w:line="276" w:lineRule="auto"/>
      </w:pPr>
      <w:r>
        <w:rPr>
          <w:rFonts w:ascii="Cambria" w:hAnsi="Cambria" w:eastAsia="ＭＳ 明朝" w:cs="Cambria" w:asciiTheme="minorHAnsi" w:hAnsiTheme="minorHAnsi" w:eastAsiaTheme="minorEastAsia"/>
          <w:sz w:val="22"/>
          <w:szCs w:val="22"/>
        </w:rPr>
        <w:t>Figure 2. Computation of FPCA on the internal-cohort AEC-128 curves. (A) A random sample of patient curves, shown in gray, and the resulting mean curve μ(z), shown in black. (B) Deviation curve dᵢ(z) = xᵢ(z) − μ(z) for a representative patient, projected onto φ₁ to yield the component score. (C) The eigenvalue scree plot used for elbow-based component selection, with k = 3. (D, E) The 128×128 covariance matrix, eigen-decomposed via SVD to obtain (F) the resulting eigenfunctions φ₁–φ₃.</w:t>
      </w:r>
    </w:p>
    <w:p w14:paraId="74388F0F">
      <w:pPr>
        <w:spacing w:after="200" w:line="276" w:lineRule="auto"/>
      </w:pPr>
      <w:r>
        <w:rPr>
          <w:rFonts w:ascii="Cambria" w:hAnsi="Cambria" w:eastAsia="ＭＳ 明朝" w:cs="Cambria" w:asciiTheme="minorHAnsi" w:hAnsiTheme="minorHAnsi" w:eastAsiaTheme="minorEastAsia"/>
          <w:sz w:val="22"/>
          <w:szCs w:val="22"/>
        </w:rPr>
        <w:t>External-cohort curves were projected onto these same fixed components, estimated from the internal cohort only, without any refitting, keeping the two cohorts on a common basis for comparison. This captures morphological variation in curve shape that a single scalar summary such as mean mAs cannot capture on its own; it enters the predictive models as an input variable, consistent with prior applications of FPCA to CT-derived curves for clinical outcome prediction [9].</w:t>
      </w:r>
    </w:p>
    <w:p w14:paraId="4A36F44A">
      <w:pPr>
        <w:pStyle w:val="1"/>
      </w:pPr>
      <w:r>
        <w:rPr>
          <w:rFonts w:ascii="Calibri" w:hAnsi="Calibri" w:eastAsia="ＭＳ ゴシック" w:cs="Calibri" w:asciiTheme="majorHAnsi" w:hAnsiTheme="majorHAnsi" w:eastAsiaTheme="majorEastAsia"/>
          <w:b/>
          <w:bCs/>
          <w:color w:val="365F91" w:themeColor="accent1" w:themeShade="BF"/>
          <w:sz w:val="28"/>
          <w:szCs w:val="28"/>
        </w:rPr>
        <w:t>Automated Body Composition Analysis</w:t>
      </w:r>
    </w:p>
    <w:p w14:paraId="730BEDBC">
      <w:pPr>
        <w:spacing w:after="200" w:line="276" w:lineRule="auto"/>
      </w:pPr>
      <w:r>
        <w:rPr>
          <w:rFonts w:ascii="Cambria" w:hAnsi="Cambria" w:eastAsia="ＭＳ 明朝" w:cs="Cambria" w:asciiTheme="minorHAnsi" w:hAnsiTheme="minorHAnsi" w:eastAsiaTheme="minorEastAsia"/>
          <w:sz w:val="22"/>
          <w:szCs w:val="22"/>
        </w:rPr>
        <w:t>Visceral and subcutaneous fat.—In addition to the AEC-derived predictors above, we evaluated an established, tissue-specific opportunistic CT body-composition biomarker as a second, independent baseline against which the incremental value of the AEC curve was tested, since CT-derived visceral and subcutaneous fat are established predictors of cardiometabolic disease [10]. Visceral and subcutaneous adipose tissue were segmented using the same TotalSegmentator-based automated pipeline used for AEC-128 landmark localization [4], applied to the axial slices within the same hip-to-liver craniocaudal range used to construct the AEC-128 curve; the cross-sectional adipose-tissue area at each slice was summed across this range to yield one visceral fat value (VAT) and one subcutaneous fat value (SAT) per patient, from which the VAT/SAT ratio was computed as VAT divided by SAT. [The precise TotalSegmentator task/version used for this tissue segmentation, and the unit of the reported area, should be confirmed against the original segmentation pipeline log before submission; this description reflects the structure of the precomputed VAT/SAT fields already present in the source dataset (VAT_SUM, SAT_SUM) rather than an independently re-verified segmentation log.] Rather than entering VAT and SAT as two separate covariates, the VAT/SAT ratio entered the models described below as a single body-composition covariate (Statistical Analysis).</w:t>
      </w:r>
    </w:p>
    <w:p w14:paraId="56E4CC52">
      <w:pPr>
        <w:pStyle w:val="1"/>
      </w:pPr>
      <w:r>
        <w:rPr>
          <w:rFonts w:ascii="Calibri" w:hAnsi="Calibri" w:eastAsia="ＭＳ ゴシック" w:cs="Calibri" w:asciiTheme="majorHAnsi" w:hAnsiTheme="majorHAnsi" w:eastAsiaTheme="majorEastAsia"/>
          <w:b/>
          <w:bCs/>
          <w:color w:val="365F91" w:themeColor="accent1" w:themeShade="BF"/>
          <w:sz w:val="28"/>
          <w:szCs w:val="28"/>
        </w:rPr>
        <w:t>Clinical Variables and Outcome Definitions</w:t>
      </w:r>
    </w:p>
    <w:p w14:paraId="2827E996">
      <w:pPr>
        <w:spacing w:after="200" w:line="276" w:lineRule="auto"/>
      </w:pPr>
      <w:r>
        <w:rPr>
          <w:rFonts w:ascii="Cambria" w:hAnsi="Cambria" w:eastAsia="ＭＳ 明朝" w:cs="Cambria" w:asciiTheme="minorHAnsi" w:hAnsiTheme="minorHAnsi" w:eastAsiaTheme="minorEastAsia"/>
          <w:sz w:val="22"/>
          <w:szCs w:val="22"/>
        </w:rPr>
        <w:t>Clinical predictors and outcomes.—Age, sex, height, and weight were abstracted from the same clinical database used for patient matching and served as the baseline clinical predictors, collectively termed clinic4, in every model described below. Outcomes were defined as the presence or absence of a documented diagnosis of hypertension, diabetes mellitus, and chronic kidney disease — HTN, DM, and CKD, respectively — in the clinical database.</w:t>
      </w:r>
    </w:p>
    <w:p w14:paraId="3F3AD0A3">
      <w:pPr>
        <w:spacing w:after="200" w:line="276" w:lineRule="auto"/>
      </w:pPr>
      <w:r>
        <w:rPr>
          <w:rFonts w:ascii="Cambria" w:hAnsi="Cambria" w:eastAsia="ＭＳ 明朝" w:cs="Cambria" w:asciiTheme="minorHAnsi" w:hAnsiTheme="minorHAnsi" w:eastAsiaTheme="minorEastAsia"/>
          <w:sz w:val="22"/>
          <w:szCs w:val="22"/>
        </w:rPr>
        <w:t>In this cohort, hypertension was present in 329 of 1,088 internal patients (30.2%) and 425 of 925 external patients (45.9%); diabetes mellitus in 204 internal patients (18.8%) and 285 external patients (30.8%); and chronic kidney disease in 83 internal patients (7.6%) and 168 external patients (18.2%).</w:t>
      </w:r>
    </w:p>
    <w:p w14:paraId="7C61CF3C">
      <w:pPr>
        <w:pStyle w:val="1"/>
      </w:pPr>
      <w:r>
        <w:rPr>
          <w:rFonts w:ascii="Calibri" w:hAnsi="Calibri" w:eastAsia="ＭＳ ゴシック" w:cs="Calibri" w:asciiTheme="majorHAnsi" w:hAnsiTheme="majorHAnsi" w:eastAsiaTheme="majorEastAsia"/>
          <w:b/>
          <w:bCs/>
          <w:color w:val="365F91" w:themeColor="accent1" w:themeShade="BF"/>
          <w:sz w:val="28"/>
          <w:szCs w:val="28"/>
        </w:rPr>
        <w:t>Study Endpoints</w:t>
      </w:r>
    </w:p>
    <w:p w14:paraId="5C7262C5">
      <w:pPr>
        <w:spacing w:after="200" w:line="276" w:lineRule="auto"/>
      </w:pPr>
      <w:r>
        <w:rPr>
          <w:rFonts w:ascii="Cambria" w:hAnsi="Cambria" w:eastAsia="ＭＳ 明朝" w:cs="Cambria" w:asciiTheme="minorHAnsi" w:hAnsiTheme="minorHAnsi" w:eastAsiaTheme="minorEastAsia"/>
          <w:sz w:val="22"/>
          <w:szCs w:val="22"/>
        </w:rPr>
        <w:t>The primary endpoint was discriminative performance, quantified by the area under the receiver operating characteristic curve (AUC), for three prevalent-disease outcomes evaluated separately — HTN, DM, and CKD — assessed by internal out-of-fold AUC under cross-validation and by a single frozen external AUC (Statistical Analysis). Two prespecified model families addressed the incremental value of the AEC curve over two different non-AEC baselines: Family A compared clinic4, clinic4 + mean mAs, and clinic4 + mean mAs + AEC, testing first whether a single-number exposure summary (mean mAs) improves on clinic4 alone, and then whether the full, prespecified AEC score adds further discrimination beyond that summary; Family B compared clinic4 + VAT/SAT ratio and clinic4 + VAT/SAT ratio + AEC, testing whether the AEC score adds discrimination beyond an established opportunistic body-composition baseline. The primary comparisons of interest were therefore the four paired AUC differences — clinic4 + mean mAs vs. clinic4; clinic4 + mean mAs + AEC vs. clinic4 + mean mAs; clinic4 + VAT/SAT ratio vs. clinic4; and clinic4 + VAT/SAT ratio + AEC vs. clinic4 + VAT/SAT ratio — each tested with the paired DeLong test (Statistical Analysis). Secondary endpoints were sensitivity, specificity, and accuracy at a single classification threshold fixed from the internal out-of-fold predictions, and the consistency of the AEC-related AUC differences across CT scanner-vendor subgroups.</w:t>
      </w:r>
    </w:p>
    <w:p w14:paraId="2C092657">
      <w:pPr>
        <w:pStyle w:val="1"/>
      </w:pPr>
      <w:r>
        <w:rPr>
          <w:rFonts w:ascii="Calibri" w:hAnsi="Calibri" w:eastAsia="ＭＳ ゴシック" w:cs="Calibri" w:asciiTheme="majorHAnsi" w:hAnsiTheme="majorHAnsi" w:eastAsiaTheme="majorEastAsia"/>
          <w:b/>
          <w:bCs/>
          <w:color w:val="365F91" w:themeColor="accent1" w:themeShade="BF"/>
          <w:sz w:val="28"/>
          <w:szCs w:val="28"/>
        </w:rPr>
        <w:t>Statistical Analysis</w:t>
      </w:r>
    </w:p>
    <w:p w14:paraId="0530E264">
      <w:pPr>
        <w:spacing w:after="200" w:line="276" w:lineRule="auto"/>
      </w:pPr>
      <w:r>
        <w:rPr>
          <w:rFonts w:ascii="Cambria" w:hAnsi="Cambria" w:eastAsia="ＭＳ 明朝" w:cs="Cambria" w:asciiTheme="minorHAnsi" w:hAnsiTheme="minorHAnsi" w:eastAsiaTheme="minorEastAsia"/>
          <w:sz w:val="22"/>
          <w:szCs w:val="22"/>
        </w:rPr>
        <w:t>For each disease outcome, we fit five logistic regression models — clinic4; clinic4 + mean mAs; clinic4 + mean mAs + AEC; clinic4 + VAT/SAT ratio; and clinic4 + VAT/SAT ratio + AEC — corresponding to the two model families defined above (Study Endpoints). The baseline model, clinic4, used the four clinical predictors introduced above — age, sex, height, and weight — since these are the clinical variables routinely available at the time of imaging and therefore give a realistic reference against which any imaging-derived contribution can be judged. Sex, being binary, was entered directly as a 0/1 indicator without scaling; age, height, weight, and, where included, mean mAs and the VAT/SAT ratio, being continuous and on different physical scales, were standardized to zero mean and unit variance using a scaler fit on the internal cohort and applied, without refitting, to the external cohort, so that no single variable would dominate the regression by scale alone. The prespecified AEC score (FPCA PC1–3) was standardized separately, with its own scaler fit on the internal cohort and applied frozen to the external cohort, so that the AEC score — on a different physical scale from the clinical and body-composition predictors — would not dominate, or be dominated by, the other terms in the L2-regularized logistic regression; during internal cross-validation, this AEC scaler, together with the FPCA transform itself, was refit on each training fold and applied to the held-out fold only, to prevent validation-curve information from leaking into either step. We evaluated every model by internal AUC under 5-fold stratified cross-validation, which provides a stable out-of-fold estimate of internal performance [11] — reduced to as few as two folds for outcomes whose minority class contained fewer than five patients — and by external frozen AUC, following the two-cohort clinic-model-versus-clinic-plus-imaging-model design used in prior curve-based disease-prediction studies [12] and consistent with the internal/external validation principles cited above [1-3].</w:t>
      </w:r>
    </w:p>
    <w:p w14:paraId="67CB7CDB">
      <w:pPr>
        <w:spacing w:after="200" w:line="276" w:lineRule="auto"/>
      </w:pPr>
      <w:r>
        <w:rPr>
          <w:rFonts w:ascii="Cambria" w:hAnsi="Cambria" w:eastAsia="ＭＳ 明朝" w:cs="Cambria" w:asciiTheme="minorHAnsi" w:hAnsiTheme="minorHAnsi" w:eastAsiaTheme="minorEastAsia"/>
          <w:sz w:val="22"/>
          <w:szCs w:val="22"/>
        </w:rPr>
        <w:t>For each disease, we tested the four prespecified paired AUC differences (Study Endpoints) with the paired DeLong test [13], appropriate because, within each cohort, all five models were evaluated on the same patients. We chose a classification threshold by maximizing Youden's J statistic [14] on each model's internal out-of-fold predictions and applied it, fixed, to compute sensitivity, specificity, and accuracy in both cohorts. To assess whether the AEC-related AUC differences were consistent across CT manufacturers, now unrestricted by scanner model or vendor (Study Design and Participants), we additionally recomputed AUC within each scanner subgroup containing at least 30 patients with both outcome classes represented, using the same fixed threshold. Throughout, we considered a two-sided p-value below 0.05 statistically significant, and we performed all analyses in Python 3.13 using scikit-learn 1.7, pandas 2.3, NumPy 2.3, and SciPy 1.16.</w:t>
      </w:r>
    </w:p>
    <w:p w14:paraId="2C66214B">
      <w:pPr>
        <w:pStyle w:val="1"/>
      </w:pPr>
      <w:r>
        <w:rPr>
          <w:rFonts w:ascii="Calibri" w:hAnsi="Calibri" w:eastAsia="ＭＳ ゴシック" w:cs="Calibri" w:asciiTheme="majorHAnsi" w:hAnsiTheme="majorHAnsi" w:eastAsiaTheme="majorEastAsia"/>
          <w:b/>
          <w:bCs/>
          <w:color w:val="365F91" w:themeColor="accent1" w:themeShade="BF"/>
          <w:sz w:val="28"/>
          <w:szCs w:val="28"/>
        </w:rPr>
        <w:t>References</w:t>
      </w:r>
    </w:p>
    <w:p w14:paraId="3041DCB6">
      <w:pPr>
        <w:spacing w:after="200" w:line="276" w:lineRule="auto"/>
      </w:pPr>
      <w:r>
        <w:rPr>
          <w:rFonts w:ascii="Cambria" w:hAnsi="Cambria" w:eastAsia="ＭＳ 明朝" w:cs="Cambria" w:asciiTheme="minorHAnsi" w:hAnsiTheme="minorHAnsi" w:eastAsiaTheme="minorEastAsia"/>
          <w:sz w:val="22"/>
          <w:szCs w:val="22"/>
        </w:rPr>
        <w:t>1. Steyerberg EW. Clinical Prediction Models: A Practical Approach to Development, Validation, and Updating. 2nd ed. Springer; 2019.</w:t>
      </w:r>
    </w:p>
    <w:p w14:paraId="5E2501CB">
      <w:pPr>
        <w:spacing w:after="200" w:line="276" w:lineRule="auto"/>
      </w:pPr>
      <w:r>
        <w:rPr>
          <w:rFonts w:ascii="Cambria" w:hAnsi="Cambria" w:eastAsia="ＭＳ 明朝" w:cs="Cambria" w:asciiTheme="minorHAnsi" w:hAnsiTheme="minorHAnsi" w:eastAsiaTheme="minorEastAsia"/>
          <w:sz w:val="22"/>
          <w:szCs w:val="22"/>
        </w:rPr>
        <w:t>2. Moons KGM, Altman DG, Reitsma JB, et al. Transparent reporting of a multivariable prediction model for individual prognosis or diagnosis (TRIPOD): explanation and elaboration. Ann Intern Med. 2015;162(1):W1-W73. doi:10.7326/M14-0698</w:t>
      </w:r>
    </w:p>
    <w:p w14:paraId="2E214900">
      <w:pPr>
        <w:spacing w:after="200" w:line="276" w:lineRule="auto"/>
      </w:pPr>
      <w:r>
        <w:rPr>
          <w:rFonts w:ascii="Cambria" w:hAnsi="Cambria" w:eastAsia="ＭＳ 明朝" w:cs="Cambria" w:asciiTheme="minorHAnsi" w:hAnsiTheme="minorHAnsi" w:eastAsiaTheme="minorEastAsia"/>
          <w:sz w:val="22"/>
          <w:szCs w:val="22"/>
        </w:rPr>
        <w:t>3. Ramspek CL, Jager KJ, Dekker FW, Zoccali C, van Diepen M. External validation of prognostic models: what, why, how, when and where? Clin Kidney J. 2021;14(1):49-58. doi:10.1093/ckj/sfaa188</w:t>
      </w:r>
    </w:p>
    <w:p w14:paraId="3158FB32">
      <w:pPr>
        <w:spacing w:after="200" w:line="276" w:lineRule="auto"/>
      </w:pPr>
      <w:r>
        <w:rPr>
          <w:rFonts w:ascii="Cambria" w:hAnsi="Cambria" w:eastAsia="ＭＳ 明朝" w:cs="Cambria" w:asciiTheme="minorHAnsi" w:hAnsiTheme="minorHAnsi" w:eastAsiaTheme="minorEastAsia"/>
          <w:sz w:val="22"/>
          <w:szCs w:val="22"/>
        </w:rPr>
        <w:t>4. Wasserthal J, Breit HC, Meyer MT, et al. TotalSegmentator: robust segmentation of 104 anatomic structures in CT images. Radiol Artif Intell. 2023;5(5):e230024. doi:10.1148/ryai.230024</w:t>
      </w:r>
    </w:p>
    <w:p w14:paraId="47631824">
      <w:pPr>
        <w:spacing w:after="200" w:line="276" w:lineRule="auto"/>
      </w:pPr>
      <w:r>
        <w:rPr>
          <w:rFonts w:ascii="Cambria" w:hAnsi="Cambria" w:eastAsia="ＭＳ 明朝" w:cs="Cambria" w:asciiTheme="minorHAnsi" w:hAnsiTheme="minorHAnsi" w:eastAsiaTheme="minorEastAsia"/>
          <w:sz w:val="22"/>
          <w:szCs w:val="22"/>
        </w:rPr>
        <w:t>5. Barandas M, Folgado D, Fernandes L, et al. TSFEL: time series feature extraction library. SoftwareX. 2020;11:100456. doi:10.1016/j.softx.2020.100456</w:t>
      </w:r>
    </w:p>
    <w:p w14:paraId="48B59359">
      <w:pPr>
        <w:spacing w:after="200" w:line="276" w:lineRule="auto"/>
      </w:pPr>
      <w:r>
        <w:rPr>
          <w:rFonts w:ascii="Cambria" w:hAnsi="Cambria" w:eastAsia="ＭＳ 明朝" w:cs="Cambria" w:asciiTheme="minorHAnsi" w:hAnsiTheme="minorHAnsi" w:eastAsiaTheme="minorEastAsia"/>
          <w:sz w:val="22"/>
          <w:szCs w:val="22"/>
        </w:rPr>
        <w:t>6. Ramsay JO, Silverman BW. Functional Data Analysis. 2nd ed. Springer; 2005.</w:t>
      </w:r>
    </w:p>
    <w:p w14:paraId="69DD07CA">
      <w:pPr>
        <w:spacing w:after="200" w:line="276" w:lineRule="auto"/>
      </w:pPr>
      <w:r>
        <w:rPr>
          <w:rFonts w:ascii="Cambria" w:hAnsi="Cambria" w:eastAsia="ＭＳ 明朝" w:cs="Cambria" w:asciiTheme="minorHAnsi" w:hAnsiTheme="minorHAnsi" w:eastAsiaTheme="minorEastAsia"/>
          <w:sz w:val="22"/>
          <w:szCs w:val="22"/>
        </w:rPr>
        <w:t>7. Eckart C, Young G. The approximation of one matrix by another of lower rank. Psychometrika. 1936;1(3):211-218. doi:10.1007/BF02288367</w:t>
      </w:r>
    </w:p>
    <w:p w14:paraId="2A58F794">
      <w:pPr>
        <w:spacing w:after="200" w:line="276" w:lineRule="auto"/>
      </w:pPr>
      <w:r>
        <w:rPr>
          <w:rFonts w:ascii="Cambria" w:hAnsi="Cambria" w:eastAsia="ＭＳ 明朝" w:cs="Cambria" w:asciiTheme="minorHAnsi" w:hAnsiTheme="minorHAnsi" w:eastAsiaTheme="minorEastAsia"/>
          <w:sz w:val="22"/>
          <w:szCs w:val="22"/>
        </w:rPr>
        <w:t>8. Satopaa V, Albrecht J, Irwin D, Raghavan B. Finding a “Kneedle” in a haystack: detecting knee points in system behavior. In: 2011 31st International Conference on Distributed Computing Systems Workshops. IEEE; 2011:166-171. doi:10.1109/ICDCSW.2011.20</w:t>
      </w:r>
    </w:p>
    <w:p w14:paraId="4A341E9B">
      <w:pPr>
        <w:spacing w:after="200" w:line="276" w:lineRule="auto"/>
      </w:pPr>
      <w:r>
        <w:rPr>
          <w:rFonts w:ascii="Cambria" w:hAnsi="Cambria" w:eastAsia="ＭＳ 明朝" w:cs="Cambria" w:asciiTheme="minorHAnsi" w:hAnsiTheme="minorHAnsi" w:eastAsiaTheme="minorEastAsia"/>
          <w:sz w:val="22"/>
          <w:szCs w:val="22"/>
        </w:rPr>
        <w:t>9. Shalmon T, Salazar P, Horie M, et al. Predefined and data driven CT densitometric features predict critical illness and hospital length of stay in COVID-19 patients. Sci Rep. 2022;12(1):8143. doi:10.1038/s41598-022-12311-4</w:t>
      </w:r>
    </w:p>
    <w:p w14:paraId="0C0092D8">
      <w:pPr>
        <w:spacing w:after="200" w:line="276" w:lineRule="auto"/>
      </w:pPr>
      <w:r>
        <w:rPr>
          <w:rFonts w:ascii="Cambria" w:hAnsi="Cambria" w:eastAsia="ＭＳ 明朝" w:cs="Cambria" w:asciiTheme="minorHAnsi" w:hAnsiTheme="minorHAnsi" w:eastAsiaTheme="minorEastAsia"/>
          <w:sz w:val="22"/>
          <w:szCs w:val="22"/>
        </w:rPr>
        <w:t>10. Chang Y, Yoon SH, Kwon R, et al. Automated Comprehensive CT Assessment of the Risk of Diabetes and Associated Cardiometabolic Conditions. Radiology. 2024;312(2):e233410. doi:10.1148/radiol.233410</w:t>
      </w:r>
    </w:p>
    <w:p w14:paraId="0AC25B8D">
      <w:pPr>
        <w:spacing w:after="200" w:line="276" w:lineRule="auto"/>
      </w:pPr>
      <w:r>
        <w:rPr>
          <w:rFonts w:ascii="Cambria" w:hAnsi="Cambria" w:eastAsia="ＭＳ 明朝" w:cs="Cambria" w:asciiTheme="minorHAnsi" w:hAnsiTheme="minorHAnsi" w:eastAsiaTheme="minorEastAsia"/>
          <w:sz w:val="22"/>
          <w:szCs w:val="22"/>
        </w:rPr>
        <w:t>11. Kohavi R. A study of cross-validation and bootstrap for accuracy estimation and model selection. In: Proceedings of the 14th International Joint Conference on Artificial Intelligence. 1995:1137-1143.</w:t>
      </w:r>
    </w:p>
    <w:p w14:paraId="2A047246">
      <w:pPr>
        <w:spacing w:after="200" w:line="276" w:lineRule="auto"/>
      </w:pPr>
      <w:r>
        <w:rPr>
          <w:rFonts w:ascii="Cambria" w:hAnsi="Cambria" w:eastAsia="ＭＳ 明朝" w:cs="Cambria" w:asciiTheme="minorHAnsi" w:hAnsiTheme="minorHAnsi" w:eastAsiaTheme="minorEastAsia"/>
          <w:sz w:val="22"/>
          <w:szCs w:val="22"/>
        </w:rPr>
        <w:t>12. Jeon ET, Park H, Lee JK, et al. Deep learning-based COPD exacerbation prediction using flow-volume and volume-time curve imaging: retrospective cohort study. J Med Internet Res. 2025;27:e69785. doi:10.2196/69785</w:t>
      </w:r>
    </w:p>
    <w:p w14:paraId="455CFFBB">
      <w:pPr>
        <w:spacing w:after="200" w:line="276" w:lineRule="auto"/>
      </w:pPr>
      <w:r>
        <w:rPr>
          <w:rFonts w:ascii="Cambria" w:hAnsi="Cambria" w:eastAsia="ＭＳ 明朝" w:cs="Cambria" w:asciiTheme="minorHAnsi" w:hAnsiTheme="minorHAnsi" w:eastAsiaTheme="minorEastAsia"/>
          <w:sz w:val="22"/>
          <w:szCs w:val="22"/>
        </w:rPr>
        <w:t>13. DeLong ER, DeLong DM, Clarke-Pearson DL. Comparing the areas under two or more correlated receiver operating characteristic curves: a nonparametric approach. Biometrics. 1988;44(3):837-845. doi:10.2307/2531595</w:t>
      </w:r>
    </w:p>
    <w:p w14:paraId="0F438907">
      <w:pPr>
        <w:spacing w:after="200" w:line="276" w:lineRule="auto"/>
      </w:pPr>
      <w:r>
        <w:rPr>
          <w:rFonts w:ascii="Cambria" w:hAnsi="Cambria" w:eastAsia="ＭＳ 明朝" w:cs="Cambria" w:asciiTheme="minorHAnsi" w:hAnsiTheme="minorHAnsi" w:eastAsiaTheme="minorEastAsia"/>
          <w:sz w:val="22"/>
          <w:szCs w:val="22"/>
        </w:rPr>
        <w:t>14. Youden WJ. Index for rating diagnostic tests. Cancer. 1950;3(1):32-35. doi:10.1002/1097-0142(1950)3:1&lt;32::AID-CNCR2820030106&gt;3.0.CO;2-3</w:t>
      </w:r>
    </w:p>
    <w:sectPr>
      <w:pgSz w:w="12240" w:h="15840"/>
      <w:pgMar w:top="1440" w:right="1800" w:bottom="1440" w:left="1800" w:header="720" w:footer="720"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03F4C" w14:textId="77777777">
      <w:pPr>
        <w:spacing w:after="0" w:line="240" w:lineRule="auto"/>
      </w:pPr>
      <w:r>
        <w:separator/>
      </w:r>
    </w:p>
  </w:endnote>
  <w:endnote w:type="continuationSeparator" w:id="0">
    <w:p w14:paraId="5FD1DE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DECD5" w14:textId="77777777">
      <w:pPr>
        <w:spacing w:after="0" w:line="240" w:lineRule="auto"/>
      </w:pPr>
      <w:r>
        <w:separator/>
      </w:r>
    </w:p>
  </w:footnote>
  <w:footnote w:type="continuationSeparator" w:id="0">
    <w:p w14:paraId="4614C02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4882747">
    <w:abstractNumId w:val="8"/>
  </w:num>
  <w:num w:numId="2" w16cid:durableId="876695009">
    <w:abstractNumId w:val="6"/>
  </w:num>
  <w:num w:numId="3" w16cid:durableId="86728652">
    <w:abstractNumId w:val="5"/>
  </w:num>
  <w:num w:numId="4" w16cid:durableId="1209731021">
    <w:abstractNumId w:val="4"/>
  </w:num>
  <w:num w:numId="5" w16cid:durableId="2144497424">
    <w:abstractNumId w:val="7"/>
  </w:num>
  <w:num w:numId="6" w16cid:durableId="30768062">
    <w:abstractNumId w:val="3"/>
  </w:num>
  <w:num w:numId="7" w16cid:durableId="1611860237">
    <w:abstractNumId w:val="2"/>
  </w:num>
  <w:num w:numId="8" w16cid:durableId="1116632780">
    <w:abstractNumId w:val="1"/>
  </w:num>
  <w:num w:numId="9" w16cid:durableId="120587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D8"/>
    <w:rsid w:val="00034616"/>
    <w:rsid w:val="0006063C"/>
    <w:rsid w:val="0015074B"/>
    <w:rsid w:val="001611EA"/>
    <w:rsid w:val="00172F64"/>
    <w:rsid w:val="001C58EA"/>
    <w:rsid w:val="0020413B"/>
    <w:rsid w:val="002173A8"/>
    <w:rsid w:val="0029639D"/>
    <w:rsid w:val="00326F90"/>
    <w:rsid w:val="00340F78"/>
    <w:rsid w:val="00385B99"/>
    <w:rsid w:val="003C29C6"/>
    <w:rsid w:val="004357BA"/>
    <w:rsid w:val="005A7CB9"/>
    <w:rsid w:val="005B7E30"/>
    <w:rsid w:val="0061453E"/>
    <w:rsid w:val="0062021E"/>
    <w:rsid w:val="006F3C15"/>
    <w:rsid w:val="00730E86"/>
    <w:rsid w:val="00750E6D"/>
    <w:rsid w:val="007B5913"/>
    <w:rsid w:val="00876201"/>
    <w:rsid w:val="008A1EBD"/>
    <w:rsid w:val="0091633B"/>
    <w:rsid w:val="00926DEF"/>
    <w:rsid w:val="009353E7"/>
    <w:rsid w:val="00A21B09"/>
    <w:rsid w:val="00AA1D8D"/>
    <w:rsid w:val="00AA700E"/>
    <w:rsid w:val="00AF6B7B"/>
    <w:rsid w:val="00B23C6F"/>
    <w:rsid w:val="00B34382"/>
    <w:rsid w:val="00B47730"/>
    <w:rsid w:val="00C3725C"/>
    <w:rsid w:val="00C91F10"/>
    <w:rsid w:val="00CB0664"/>
    <w:rsid w:val="00CC79DB"/>
    <w:rsid w:val="00CF7936"/>
    <w:rsid w:val="00D25C10"/>
    <w:rsid w:val="00E06D3C"/>
    <w:rsid w:val="00E31D36"/>
    <w:rsid w:val="00E3718A"/>
    <w:rsid w:val="00E502BB"/>
    <w:rsid w:val="00E80349"/>
    <w:rsid w:val="00E958CB"/>
    <w:rsid w:val="00F77142"/>
    <w:rsid w:val="00F82094"/>
    <w:rsid w:val="00F901E6"/>
    <w:rsid w:val="00FA5C3E"/>
    <w:rsid w:val="00FC693F"/>
    <w:rsid w:val="00FE1C5F"/>
    <w:rsid w:val="00FE6080"/>
    <w:rsid w:val="00FF51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6FBA6101-5696-4AEB-A8E4-AD20C7BFE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Plain Table 2"/>
    <w:basedOn w:val="a3"/>
    <w:uiPriority w:val="99"/>
    <w:rsid w:val="00B23C6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0">
    <w:name w:val="Plain Table 4"/>
    <w:basedOn w:val="a3"/>
    <w:uiPriority w:val="99"/>
    <w:rsid w:val="002173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6">
    <w:name w:val="Plain Table 3"/>
    <w:basedOn w:val="a3"/>
    <w:uiPriority w:val="99"/>
    <w:rsid w:val="002173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2337</Words>
  <Characters>13326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전장훈</cp:lastModifiedBy>
  <cp:revision>26</cp:revision>
  <dcterms:created xsi:type="dcterms:W3CDTF">2013-12-23T23:15:00Z</dcterms:created>
  <dcterms:modified xsi:type="dcterms:W3CDTF">2026-08-24T06:44:32.524Z</dcterms:modified>
  <cp:category/>
</cp:coreProperties>
</file>