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C55923" w14:textId="77777777">
      <w:pPr>
        <w:pStyle w:val="1"/>
        <w:rPr>
          <w:color w:val="auto"/>
        </w:rPr>
      </w:pPr>
      <w:r>
        <w:rPr>
          <w:rFonts w:ascii="맑은 고딕" w:hAnsi="맑은 고딕" w:eastAsia="맑은 고딕" w:cs="맑은 고딕" w:csTheme="majorBidi"/>
          <w:b/>
          <w:bCs/>
          <w:color w:val="365F91" w:themeColor="accent1" w:themeShade="BF"/>
          <w:sz w:val="28"/>
          <w:szCs w:val="28"/>
        </w:rPr>
        <w:t>Introduction</w:t>
      </w:r>
    </w:p>
    <w:p w14:paraId="3BF98203" w14:textId="77777777">
      <w:pPr>
        <w:pStyle w:val="21"/>
        <w:rPr>
          <w:color w:val="auto"/>
        </w:rPr>
      </w:pPr>
      <w:r>
        <w:rPr>
          <w:rFonts w:ascii="맑은 고딕" w:hAnsi="맑은 고딕" w:eastAsia="맑은 고딕" w:cs="맑은 고딕" w:csTheme="majorBidi"/>
          <w:b/>
          <w:bCs/>
          <w:color w:val="4F81BD" w:themeColor="accent1"/>
          <w:sz w:val="26"/>
          <w:szCs w:val="26"/>
        </w:rPr>
        <w:t>Automatic Exposure Control</w:t>
      </w:r>
    </w:p>
    <w:p w14:paraId="6DFD6EF3" w14:textId="77777777">
      <w:r>
        <w:rPr>
          <w:rFonts w:ascii="맑은 고딕" w:hAnsi="맑은 고딕" w:eastAsia="맑은 고딕" w:cs="맑은 고딕" w:csTheme="minorBidi"/>
          <w:sz w:val="21"/>
          <w:szCs w:val="22"/>
        </w:rPr>
        <w:t xml:space="preserve">CT 영상의 잡음(noise) 수준은 촬영 부위를 투과하는 X선의 감쇠(attenuation) 정도에 따라 결정되며, 동일한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(tube current, mA)로 촬영하더라도 환자의 체형이나 부위별 두께가 다르면 잡음 수준이 균일하지 않게 된다. 이를 보정하기 위해 현대 </w:t>
      </w:r>
      <w:r>
        <w:rPr>
          <w:rFonts w:ascii="맑은 고딕" w:hAnsi="맑은 고딕" w:eastAsia="맑은 고딕" w:cs="맑은 고딕" w:csTheme="minorBidi"/>
          <w:sz w:val="21"/>
          <w:szCs w:val="22"/>
        </w:rPr>
        <w:t>다중검출기</w:t>
      </w:r>
      <w:r>
        <w:rPr>
          <w:rFonts w:ascii="맑은 고딕" w:hAnsi="맑은 고딕" w:eastAsia="맑은 고딕" w:cs="맑은 고딕" w:csTheme="minorBidi"/>
          <w:sz w:val="21"/>
          <w:szCs w:val="22"/>
        </w:rPr>
        <w:t xml:space="preserve"> CT는 자동노출조절(automatic exposure control, AEC)을 이용하여, 진단 촬영 직전에 획득한 </w:t>
      </w:r>
      <w:r>
        <w:rPr>
          <w:rFonts w:ascii="맑은 고딕" w:hAnsi="맑은 고딕" w:eastAsia="맑은 고딕" w:cs="맑은 고딕" w:csTheme="minorBidi"/>
          <w:sz w:val="21"/>
          <w:szCs w:val="22"/>
        </w:rPr>
        <w:t>저선량</w:t>
      </w:r>
      <w:r>
        <w:rPr>
          <w:rFonts w:ascii="맑은 고딕" w:hAnsi="맑은 고딕" w:eastAsia="맑은 고딕" w:cs="맑은 고딕" w:csTheme="minorBidi"/>
          <w:sz w:val="21"/>
          <w:szCs w:val="22"/>
        </w:rPr>
        <w:t xml:space="preserve"> localizer(scout) 영상에서 얻은 부위별 X선 감쇠 정보를 바탕으로 사용자가 지정한 목표 영상잡음 수준을 유지하도록 관전류를 실시간으로 조정한다. AEC 변조는 촬영 각도에 따라 관전류를 바꾸는 각(angular, x-y) 변조, 두부에서 </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방향(craniocaudal, z축)을 따라 관전류를 바꾸는 종축(longitudinal, z) 변조, 그리고 두 방식을 결합한 x-y-z 복합 변조로 구분된다 [1].</w:t>
      </w:r>
    </w:p>
    <w:p w14:paraId="2E965385" w14:textId="77777777">
      <w:r>
        <w:rPr>
          <w:rFonts w:ascii="맑은 고딕" w:hAnsi="맑은 고딕" w:eastAsia="맑은 고딕" w:cs="맑은 고딕" w:csTheme="minorBidi"/>
          <w:sz w:val="21"/>
          <w:szCs w:val="22"/>
        </w:rPr>
        <w:t xml:space="preserve">부위별 감쇠 정보는 이 </w:t>
      </w:r>
      <w:r>
        <w:rPr>
          <w:rFonts w:ascii="맑은 고딕" w:hAnsi="맑은 고딕" w:eastAsia="맑은 고딕" w:cs="맑은 고딕" w:csTheme="minorBidi"/>
          <w:sz w:val="21"/>
          <w:szCs w:val="22"/>
        </w:rPr>
        <w:t>저선량</w:t>
      </w:r>
      <w:r>
        <w:rPr>
          <w:rFonts w:ascii="맑은 고딕" w:hAnsi="맑은 고딕" w:eastAsia="맑은 고딕" w:cs="맑은 고딕" w:csTheme="minorBidi"/>
          <w:sz w:val="21"/>
          <w:szCs w:val="22"/>
        </w:rPr>
        <w:t xml:space="preserve"> localizer 영상으로부터 추정된다. Localizer는 관전류를 낮게 고정한 상태로 환자를 전후방(anteroposterior) 또는 측방(lateral) 방향으로 스캔하여 얻는 단순 투과영상으로, 이 영상의 화소 강도 분포로부터 z축 위치별 대략적인 X선 감쇠 프로파일을 산출할 수 있다. 스캐너는 이 감쇠 추정치와 사용자가 지정한 목표 영상잡음 지표(예: noise index, 표준편차, 기준 </w:t>
      </w:r>
      <w:r>
        <w:rPr>
          <w:rFonts w:ascii="맑은 고딕" w:hAnsi="맑은 고딕" w:eastAsia="맑은 고딕" w:cs="맑은 고딕" w:csTheme="minorBidi"/>
          <w:sz w:val="21"/>
          <w:szCs w:val="22"/>
        </w:rPr>
        <w:t>mAs</w:t>
      </w:r>
      <w:r>
        <w:rPr>
          <w:rFonts w:ascii="맑은 고딕" w:hAnsi="맑은 고딕" w:eastAsia="맑은 고딕" w:cs="맑은 고딕" w:csTheme="minorBidi"/>
          <w:sz w:val="21"/>
          <w:szCs w:val="22"/>
        </w:rPr>
        <w:t>)</w:t>
      </w:r>
      <w:r>
        <w:rPr>
          <w:rFonts w:ascii="맑은 고딕" w:hAnsi="맑은 고딕" w:eastAsia="맑은 고딕" w:cs="맑은 고딕" w:csTheme="minorBidi"/>
          <w:sz w:val="21"/>
          <w:szCs w:val="22"/>
        </w:rPr>
        <w:t>를</w:t>
      </w:r>
      <w:r>
        <w:rPr>
          <w:rFonts w:ascii="맑은 고딕" w:hAnsi="맑은 고딕" w:eastAsia="맑은 고딕" w:cs="맑은 고딕" w:csTheme="minorBidi"/>
          <w:sz w:val="21"/>
          <w:szCs w:val="22"/>
        </w:rPr>
        <w:t xml:space="preserve"> 결합하여 z축 위치별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프로파일을 사전 계산하며, 진단 촬영이 시작되면 이 프로파일에 따라 관전류를 실시간으로 조정한다. 일부 벤더 구현에서는 촬영 초반 half-rotation 동안의 실측 </w:t>
      </w:r>
      <w:r>
        <w:rPr>
          <w:rFonts w:ascii="맑은 고딕" w:hAnsi="맑은 고딕" w:eastAsia="맑은 고딕" w:cs="맑은 고딕" w:csTheme="minorBidi"/>
          <w:sz w:val="21"/>
          <w:szCs w:val="22"/>
        </w:rPr>
        <w:t>감쇠값을</w:t>
      </w:r>
      <w:r>
        <w:rPr>
          <w:rFonts w:ascii="맑은 고딕" w:hAnsi="맑은 고딕" w:eastAsia="맑은 고딕" w:cs="맑은 고딕" w:csTheme="minorBidi"/>
          <w:sz w:val="21"/>
          <w:szCs w:val="22"/>
        </w:rPr>
        <w:t xml:space="preserve"> 이용해 추가 보정을 수행한다.</w:t>
      </w:r>
    </w:p>
    <w:p w14:paraId="580ED6E1" w14:textId="77777777">
      <w:r>
        <w:rPr>
          <w:rFonts w:ascii="맑은 고딕" w:hAnsi="맑은 고딕" w:eastAsia="맑은 고딕" w:cs="맑은 고딕" w:csTheme="minorBidi"/>
          <w:sz w:val="21"/>
          <w:szCs w:val="22"/>
        </w:rPr>
        <w:t xml:space="preserve">복부 CT에서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변조는 z축 위치에 따른 두께 변화뿐 아니라 단면 내 좌우·전후 비대칭까지 함께 반영하는 x-y-z 복합 변조로 구현되는 경우가 많다. 감쇠가 상대적으로 낮은 부위(예: 연부조직 위주의 중간 복부)에서는 관전류를 낮추고, 감쇠가 높은 부위(예: 치밀골이 많은 골반)에서는 관전류를 높여 촬영 전 구간에서 일정한 영상 품질을 유지한다. 그 결과 촬영 진행 방향을 따라 기록되는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값의 궤적, 즉 tube-current modulation curve는 해당 z축 위치에서 환자 단면의 감쇠 특성 — 곧 체형 및 </w:t>
      </w:r>
      <w:r>
        <w:rPr>
          <w:rFonts w:ascii="맑은 고딕" w:hAnsi="맑은 고딕" w:eastAsia="맑은 고딕" w:cs="맑은 고딕" w:csTheme="minorBidi"/>
          <w:sz w:val="21"/>
          <w:szCs w:val="22"/>
        </w:rPr>
        <w:t>체구성</w:t>
      </w:r>
      <w:r>
        <w:rPr>
          <w:rFonts w:ascii="맑은 고딕" w:hAnsi="맑은 고딕" w:eastAsia="맑은 고딕" w:cs="맑은 고딕" w:csTheme="minorBidi"/>
          <w:sz w:val="21"/>
          <w:szCs w:val="22"/>
        </w:rPr>
        <w:t xml:space="preserve">(body habitus) — 을 반영하게 된다. 이러한 원리는 복부·골반 z축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변조에 대한 선행 임상 검증 [2] 및 관전류가 환자 체형과 감쇠 정도에 맞추어 조정되는 방식을 기술한 선량관리 리뷰 [3]와 일관되며, AEC 곡선이 체형의 대리 지표(surrogate marker)로 활용될 수 있음을 뒷받침한다.</w:t>
      </w:r>
    </w:p>
    <w:p w14:paraId="4C564D1B" w14:textId="77777777">
      <w:r>
        <w:lastRenderedPageBreak/>
        <w:rPr>
          <w:rFonts w:ascii="맑은 고딕" w:hAnsi="맑은 고딕" w:eastAsia="맑은 고딕" w:cs="맑은 고딕" w:csTheme="minorBidi"/>
          <w:sz w:val="21"/>
          <w:szCs w:val="22"/>
        </w:rPr>
        <w:t xml:space="preserve">본 연구에 포함된 CT 장비는 x-y-z 복합 변조(combined modulation)를 구현하고 있어, DICOM 헤더 필드 </w:t>
      </w:r>
      <w:r>
        <w:rPr>
          <w:rFonts w:ascii="맑은 고딕" w:hAnsi="맑은 고딕" w:eastAsia="맑은 고딕" w:cs="맑은 고딕" w:csTheme="minorBidi"/>
          <w:sz w:val="21"/>
          <w:szCs w:val="22"/>
        </w:rPr>
        <w:t>X Ray Tube Current</w:t>
      </w:r>
      <w:r>
        <w:rPr>
          <w:rFonts w:ascii="맑은 고딕" w:hAnsi="맑은 고딕" w:eastAsia="맑은 고딕" w:cs="맑은 고딕" w:csTheme="minorBidi"/>
          <w:sz w:val="21"/>
          <w:szCs w:val="22"/>
        </w:rPr>
        <w:t xml:space="preserve">에서 추출한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값은 순수한 종축(longitudinal) 변조만의 결과가 아니라, 단면 내 각도별 비대칭을 반영하는 각(angular) 변조와 두부-</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방향의 종축 변조가 결합된 combined modulation의 </w:t>
      </w:r>
      <w:r>
        <w:rPr>
          <w:rFonts w:ascii="맑은 고딕" w:hAnsi="맑은 고딕" w:eastAsia="맑은 고딕" w:cs="맑은 고딕" w:csTheme="minorBidi"/>
          <w:sz w:val="21"/>
          <w:szCs w:val="22"/>
        </w:rPr>
        <w:t>출력값이다</w:t>
      </w:r>
      <w:r>
        <w:rPr>
          <w:rFonts w:ascii="맑은 고딕" w:hAnsi="맑은 고딕" w:eastAsia="맑은 고딕" w:cs="맑은 고딕" w:csTheme="minorBidi"/>
          <w:sz w:val="21"/>
          <w:szCs w:val="22"/>
        </w:rPr>
        <w:t xml:space="preserve">. 다만 이 값은 슬라이스(회전) 당 하나로만 기록되므로, 동일 회전 내 각도별 세부 변동은 별도로 구분되지 않고 이미 해당 회전에 대한 </w:t>
      </w:r>
      <w:r>
        <w:rPr>
          <w:rFonts w:ascii="맑은 고딕" w:hAnsi="맑은 고딕" w:eastAsia="맑은 고딕" w:cs="맑은 고딕" w:csTheme="minorBidi"/>
          <w:sz w:val="21"/>
          <w:szCs w:val="22"/>
        </w:rPr>
        <w:t>대표값으로</w:t>
      </w:r>
      <w:r>
        <w:rPr>
          <w:rFonts w:ascii="맑은 고딕" w:hAnsi="맑은 고딕" w:eastAsia="맑은 고딕" w:cs="맑은 고딕" w:csTheme="minorBidi"/>
          <w:sz w:val="21"/>
          <w:szCs w:val="22"/>
        </w:rPr>
        <w:t xml:space="preserve"> 통합되어 있다. 따라서 본 연구의 AEC-128 곡선은 두부-</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 위치에 따라 값이 변화하는 형태를 취하지만, 각 지점의 값 자체는 z축뿐 아니라 단면 비대칭 정보까지 반영한 x-y-z 복합 변조의 결과값이다.</w:t>
      </w:r>
    </w:p>
    <w:p w14:paraId="25D8D6B5" w14:textId="77777777">
      <w:r>
        <w:rPr>
          <w:rFonts w:ascii="맑은 고딕" w:hAnsi="맑은 고딕" w:eastAsia="맑은 고딕" w:cs="맑은 고딕" w:csTheme="minorBidi"/>
          <w:sz w:val="21"/>
          <w:szCs w:val="22"/>
        </w:rPr>
        <w:t xml:space="preserve">본 연구는 이러한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 원리를 이용해, 정해진 해부학적 구간에 걸친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곡선을 표준화된 고정 길이로 표현한 AEC-128을 구성하였다(구성 절차는 Method에서 상세히 다룬다). 이 접근법은 CT 영상 자체의 </w:t>
      </w:r>
      <w:r>
        <w:rPr>
          <w:rFonts w:ascii="맑은 고딕" w:hAnsi="맑은 고딕" w:eastAsia="맑은 고딕" w:cs="맑은 고딕" w:csTheme="minorBidi"/>
          <w:sz w:val="21"/>
          <w:szCs w:val="22"/>
        </w:rPr>
        <w:t>화소값을</w:t>
      </w:r>
      <w:r>
        <w:rPr>
          <w:rFonts w:ascii="맑은 고딕" w:hAnsi="맑은 고딕" w:eastAsia="맑은 고딕" w:cs="맑은 고딕" w:csTheme="minorBidi"/>
          <w:sz w:val="21"/>
          <w:szCs w:val="22"/>
        </w:rPr>
        <w:t xml:space="preserve"> 별도로 분석하지 않고도, 촬영 과정에서 자동으로 기록되는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정보만으로 체형 관련 정보를 opportunistic하게 추출한다.</w:t>
      </w:r>
    </w:p>
    <w:p w14:paraId="0AB1A5B0" w14:textId="77777777">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대신 </w:t>
      </w:r>
      <w:r>
        <w:rPr>
          <w:rFonts w:ascii="맑은 고딕" w:hAnsi="맑은 고딕" w:eastAsia="맑은 고딕" w:cs="맑은 고딕" w:csTheme="minorBidi"/>
          <w:sz w:val="21"/>
          <w:szCs w:val="22"/>
        </w:rPr>
        <w:t>관전압</w:t>
      </w:r>
      <w:r>
        <w:rPr>
          <w:rFonts w:ascii="맑은 고딕" w:hAnsi="맑은 고딕" w:eastAsia="맑은 고딕" w:cs="맑은 고딕" w:csTheme="minorBidi"/>
          <w:sz w:val="21"/>
          <w:szCs w:val="22"/>
        </w:rPr>
        <w:t>(</w:t>
      </w:r>
      <w:r>
        <w:rPr>
          <w:rFonts w:ascii="맑은 고딕" w:hAnsi="맑은 고딕" w:eastAsia="맑은 고딕" w:cs="맑은 고딕" w:csTheme="minorBidi"/>
          <w:sz w:val="21"/>
          <w:szCs w:val="22"/>
        </w:rPr>
        <w:t>kVp</w:t>
      </w:r>
      <w:r>
        <w:rPr>
          <w:rFonts w:ascii="맑은 고딕" w:hAnsi="맑은 고딕" w:eastAsia="맑은 고딕" w:cs="맑은 고딕" w:csTheme="minorBidi"/>
          <w:sz w:val="21"/>
          <w:szCs w:val="22"/>
        </w:rPr>
        <w:t xml:space="preserve">)이나 노출시간(즉, </w:t>
      </w:r>
      <w:r>
        <w:rPr>
          <w:rFonts w:ascii="맑은 고딕" w:hAnsi="맑은 고딕" w:eastAsia="맑은 고딕" w:cs="맑은 고딕" w:csTheme="minorBidi"/>
          <w:sz w:val="21"/>
          <w:szCs w:val="22"/>
        </w:rPr>
        <w:t>갠트리</w:t>
      </w:r>
      <w:r>
        <w:rPr>
          <w:rFonts w:ascii="맑은 고딕" w:hAnsi="맑은 고딕" w:eastAsia="맑은 고딕" w:cs="맑은 고딕" w:csTheme="minorBidi"/>
          <w:sz w:val="21"/>
          <w:szCs w:val="22"/>
        </w:rPr>
        <w:t xml:space="preserve"> 회전시간)을 조절하여 동일한 목적을 달성할 수도 있으나, 이들 대안이 갖는 한계로 인해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변조가 AEC의 표준 구현 방식으로 채택되어 있다. 관전압을 변경하면 X선의 에너지 스펙트럼, 즉 빔의 질(beam quality) 자체가 달라져 조직 간 대조도, 조영증강 정도, </w:t>
      </w:r>
      <w:r>
        <w:rPr>
          <w:rFonts w:ascii="맑은 고딕" w:hAnsi="맑은 고딕" w:eastAsia="맑은 고딕" w:cs="맑은 고딕" w:csTheme="minorBidi"/>
          <w:sz w:val="21"/>
          <w:szCs w:val="22"/>
        </w:rPr>
        <w:t>빔경화</w:t>
      </w:r>
      <w:r>
        <w:rPr>
          <w:rFonts w:ascii="맑은 고딕" w:hAnsi="맑은 고딕" w:eastAsia="맑은 고딕" w:cs="맑은 고딕" w:csTheme="minorBidi"/>
          <w:sz w:val="21"/>
          <w:szCs w:val="22"/>
        </w:rPr>
        <w:t xml:space="preserve">(beam hardening) </w:t>
      </w:r>
      <w:r>
        <w:rPr>
          <w:rFonts w:ascii="맑은 고딕" w:hAnsi="맑은 고딕" w:eastAsia="맑은 고딕" w:cs="맑은 고딕" w:csTheme="minorBidi"/>
          <w:sz w:val="21"/>
          <w:szCs w:val="22"/>
        </w:rPr>
        <w:t>아티팩트</w:t>
      </w:r>
      <w:r>
        <w:rPr>
          <w:rFonts w:ascii="맑은 고딕" w:hAnsi="맑은 고딕" w:eastAsia="맑은 고딕" w:cs="맑은 고딕" w:csTheme="minorBidi"/>
          <w:sz w:val="21"/>
          <w:szCs w:val="22"/>
        </w:rPr>
        <w:t xml:space="preserve"> 양상까지 함께 변화하므로 검사마다 별도의 재보정이 필요하다. 노출시간(</w:t>
      </w:r>
      <w:r>
        <w:rPr>
          <w:rFonts w:ascii="맑은 고딕" w:hAnsi="맑은 고딕" w:eastAsia="맑은 고딕" w:cs="맑은 고딕" w:csTheme="minorBidi"/>
          <w:sz w:val="21"/>
          <w:szCs w:val="22"/>
        </w:rPr>
        <w:t>갠트리</w:t>
      </w:r>
      <w:r>
        <w:rPr>
          <w:rFonts w:ascii="맑은 고딕" w:hAnsi="맑은 고딕" w:eastAsia="맑은 고딕" w:cs="맑은 고딕" w:csTheme="minorBidi"/>
          <w:sz w:val="21"/>
          <w:szCs w:val="22"/>
        </w:rPr>
        <w:t xml:space="preserve"> 회전시간)을 늘리면 촬영 시간이 길어져 호흡 및 장관 연동운동에 의한 움직임 흐림(motion blur)의 위험이 커지며, 회전 속도에는 기계적으로 정해진 제약이 있어 임의로 조절하기도 어렵다. 반면 관전류는 빔의 에너지 스펙트럼이나 스캔 속도를 변화시키지 않고 X선 광자 수, 즉 선량만을 근사적으로 선형에 가깝게 조절할 수 있어, 영상의 대조도·시간분해능 특성을 그대로 유지한 채 환자 단면의 두께 차이만을 보정하는 변수로 활용된다. 본 연구의 포함 기준상 모든 대상자가 Materials에 기술된 바와 같이 100 </w:t>
      </w:r>
      <w:r>
        <w:rPr>
          <w:rFonts w:ascii="맑은 고딕" w:hAnsi="맑은 고딕" w:eastAsia="맑은 고딕" w:cs="맑은 고딕" w:csTheme="minorBidi"/>
          <w:sz w:val="21"/>
          <w:szCs w:val="22"/>
        </w:rPr>
        <w:t>kVp</w:t>
      </w:r>
      <w:r>
        <w:rPr>
          <w:rFonts w:ascii="맑은 고딕" w:hAnsi="맑은 고딕" w:eastAsia="맑은 고딕" w:cs="맑은 고딕" w:csTheme="minorBidi"/>
          <w:sz w:val="21"/>
          <w:szCs w:val="22"/>
        </w:rPr>
        <w:t xml:space="preserve">로 고정 촬영되었으므로, 환자 간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값의 차이는 촬영 프로토콜 차이가 아닌 체형 차이만을 반영한다고 볼 수 있다.</w:t>
      </w:r>
    </w:p>
    <w:p w14:paraId="5C2E12CC" w14:textId="77777777">
      <w:pPr>
        <w:pStyle w:val="1"/>
        <w:rPr>
          <w:color w:val="auto"/>
        </w:rPr>
      </w:pPr>
      <w:r>
        <w:rPr>
          <w:rFonts w:ascii="맑은 고딕" w:hAnsi="맑은 고딕" w:eastAsia="맑은 고딕" w:cs="맑은 고딕" w:csTheme="majorBidi"/>
          <w:b/>
          <w:bCs/>
          <w:color w:val="365F91" w:themeColor="accent1" w:themeShade="BF"/>
          <w:sz w:val="28"/>
          <w:szCs w:val="28"/>
        </w:rPr>
        <w:t>Materials</w:t>
      </w:r>
    </w:p>
    <w:p w14:paraId="292DA500" w14:textId="77777777">
      <w:pPr>
        <w:pStyle w:val="1"/>
        <w:rPr>
          <w:color w:val="auto"/>
        </w:rPr>
      </w:pPr>
      <w:r>
        <w:rPr>
          <w:rFonts w:ascii="Calibri" w:cs="Calibri"/>
          <w:b/>
          <w:bCs/>
          <w:sz w:val="28"/>
          <w:szCs w:val="28"/>
        </w:rPr>
        <w:t>Study Design and Participants</w:t>
      </w:r>
    </w:p>
    <w:p w14:paraId="19A6600E">
      <w:r>
        <w:t xml:space="preserve">  </w:t>
      </w:r>
    </w:p>
    <w:p w14:paraId="7F91DEC9">
      <w:pPr>
        <w:spacing w:after="200" w:line="276" w:lineRule="auto"/>
      </w:pPr>
      <w:r>
        <w:rPr>
          <w:rFonts w:ascii="Cambria" w:cs="Cambria"/>
          <w:sz w:val="22"/>
          <w:szCs w:val="22"/>
        </w:rPr>
        <w:t>[각 참여 기관의 기관윤리위원회(IRB) 승인번호 및 동의서 취득 면제 여부는 확인되는 대로 이 자리에 삽입할 예정이며, 본 초안에서 재현한 분석 파이프라인의 일부는 아니다.]</w:t>
      </w:r>
    </w:p>
    <w:p w14:paraId="61E1AC21">
      <w:pPr>
        <w:spacing w:after="200" w:line="276" w:lineRule="auto"/>
      </w:pPr>
      <w:r>
        <w:rPr>
          <w:rFonts w:ascii="Cambria" w:cs="Cambria"/>
          <w:sz w:val="22"/>
          <w:szCs w:val="22"/>
        </w:rPr>
        <w:t>본 후향적 연구는 병원 임상 데이터베이스 및 CT 영상 데이터베이스에서 추출한 두 개의 독립적인 기관 코호트로 구성되었다: 강남세브란스병원의 내부(internal) 코호트와 신촌세브란스병원의 외부(external) 코호트이다. 두 코호트가 서로 다른 병원에서 수집되었기 때문에, 임상 예측모형에 대해 확립된 내부/외부 검증 원칙[1-3]에 따라, 내부 코호트로 학습한 모델을 재학습 없이 외부 코호트에 그대로 적용하여 외적 타당도를 평가하였다. CT 검사는 내부 코호트의 경우 2018년 1월부터 2020년 6월 사이에, 외부 코호트의 경우 2019년 한 해 동안 시행되었다. 대상 선정 기준은 동일 환자에 대해 임상 데이터와 복부 CT 검사가 모두 존재할 것, CT 검사가 관전압(kVp) 100으로 촬영되었을 것, 그리고 환자가 만 20세 이상일 것이었다.</w:t>
      </w:r>
    </w:p>
    <w:p w14:paraId="67C783EA">
      <w:pPr>
        <w:spacing w:after="200" w:line="276" w:lineRule="auto"/>
      </w:pPr>
      <w:r>
        <w:rPr>
          <w:rFonts w:ascii="Cambria" w:cs="Cambria"/>
          <w:sz w:val="22"/>
          <w:szCs w:val="22"/>
        </w:rPr>
        <w:t>이러한 기준을 적용한 후, 최종 연구 대상자는 내부 코호트 1,088명, 외부 코호트 925명이었으며, 두 코호트의 환자 선정 과정은 Figure 1에 요약되어 있다.</w:t>
      </w:r>
    </w:p>
    <w:p w14:paraId="20733728">
      <w:pPr>
        <w:spacing w:after="200" w:line="276" w:lineRule="auto"/>
      </w:pPr>
      <w:r>
        <w:rPr>
          <w:rFonts w:ascii="맑은 고딕" w:hAnsi="맑은 고딕" w:eastAsia="맑은 고딕" w:cs="맑은 고딕" w:csTheme="minorBidi"/>
          <w:sz w:val="21"/>
          <w:szCs w:val="22"/>
        </w:rPr>
        <w:t xml:space="preserve">  </w:t>
      </w:r>
      <w:r>
        <w:t xml:space="preserve">  </w:t>
      </w:r>
      <w:r>
        <w:drawing>
          <wp:inline distT="0" distB="0" distL="0" distR="0">
            <wp:extent cx="5943600" cy="30003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5943600" cy="3000375"/>
                    </a:xfrm>
                    <a:prstGeom prst="rect">
                      <a:avLst/>
                    </a:prstGeom>
                  </pic:spPr>
                </pic:pic>
              </a:graphicData>
            </a:graphic>
          </wp:inline>
        </w:drawing>
      </w:r>
      <w:r>
        <w:t xml:space="preserve">  </w:t>
      </w:r>
      <w:r>
        <w:rPr>
          <w:rFonts w:ascii="맑은 고딕" w:hAnsi="맑은 고딕" w:eastAsia="맑은 고딕" w:cs="맑은 고딕" w:csTheme="minorBidi"/>
          <w:sz w:val="21"/>
          <w:szCs w:val="22"/>
        </w:rPr>
        <w:t xml:space="preserve">  </w:t>
      </w:r>
      <w:r>
        <w:rPr>
          <w:rFonts w:ascii="Cambria" w:hAnsi="맑은 고딕" w:eastAsia="맑은 고딕" w:cs="Cambria"/>
          <w:sz w:val="22"/>
          <w:szCs w:val="22"/>
        </w:rPr>
        <w:t>Figure 1. 내부 및 외부 코호트의 환자 선정 흐름도.</w:t>
      </w:r>
    </w:p>
    <w:p w14:paraId="43AC0EF5">
      <w:pPr>
        <w:spacing w:after="200" w:line="276" w:lineRule="auto"/>
      </w:pPr>
      <w:r>
        <w:rPr>
          <w:rFonts w:ascii="Cambria" w:cs="Cambria"/>
          <w:sz w:val="22"/>
          <w:szCs w:val="22"/>
        </w:rPr>
        <w:t>내부 및 외부 코호트의 기본 특성은 Table 1에 요약되어 있다. 두 코호트 모두 연령, 성별, 신장, 체중, BMI, 동반질환, 스캐너 제조사 항목에 결측값은 없었다.</w:t>
      </w:r>
    </w:p>
    <w:p w14:paraId="54B287AC">
      <w:pPr>
        <w:spacing w:after="200" w:line="276" w:lineRule="auto"/>
      </w:pPr>
      <w:r>
        <w:rPr>
          <w:rFonts w:ascii="Cambria" w:cs="Cambria"/>
          <w:sz w:val="22"/>
          <w:szCs w:val="22"/>
        </w:rPr>
        <w:t>Table 1. 환자의 기본 특성(Baseline Characteristics)</w:t>
      </w:r>
      <w:r>
        <w:t xml:space="preserve">  </w:t>
      </w:r>
    </w:p>
    <w:tbl>
      <w:tblPr>
        <w:tblStyle w:val="28"/>
        <w:tblBorders>
          <w:top w:val="single" w:sz="6" w:color="7F7F7F"/>
          <w:left w:val="single" w:sz="6" w:color="7F7F7F"/>
          <w:bottom w:val="single" w:sz="6" w:color="7F7F7F"/>
          <w:right w:val="single" w:sz="6" w:color="7F7F7F"/>
          <w:insideH w:val="single" w:sz="6" w:color="7F7F7F"/>
          <w:insideV w:val="single" w:sz="6" w:color="7F7F7F"/>
        </w:tblBorders>
      </w:tblPr>
      <w:tblGrid>
        <w:gridCol w:w="2340"/>
        <w:gridCol w:w="2340"/>
        <w:gridCol w:w="2340"/>
        <w:gridCol w:w="2340"/>
      </w:tblGrid>
      <w:tr>
        <w:tc>
          <w:tcPr>
            <w:tcBorders>
              <w:top w:val="single" w:sz="6" w:color="7F7F7F"/>
              <w:left w:val="single" w:sz="6" w:color="7F7F7F"/>
              <w:bottom w:val="single" w:sz="6" w:color="7F7F7F"/>
              <w:right w:val="single" w:sz="6" w:color="7F7F7F"/>
            </w:tcBorders>
            <w:tcMar>
              <w:left w:w="105" w:type="dxa"/>
              <w:right w:w="105" w:type="dxa"/>
            </w:tcMar>
          </w:tcPr>
          <w:p w14:paraId="72443EFF">
            <w:pPr>
              <w:spacing w:after="200" w:line="276" w:lineRule="auto"/>
            </w:pPr>
            <w:r>
              <w:rPr>
                <w:rFonts w:ascii="Cambria" w:cs="Cambria"/>
                <w:b/>
                <w:bCs/>
                <w:sz w:val="22"/>
                <w:szCs w:val="22"/>
              </w:rPr>
              <w:t>Characteristic</w:t>
            </w:r>
          </w:p>
        </w:tc>
        <w:tc>
          <w:tcPr>
            <w:tcBorders>
              <w:top w:val="single" w:sz="6" w:color="7F7F7F"/>
              <w:left w:val="single" w:sz="6" w:color="7F7F7F"/>
              <w:bottom w:val="single" w:sz="6" w:color="7F7F7F"/>
              <w:right w:val="single" w:sz="6" w:color="7F7F7F"/>
            </w:tcBorders>
            <w:tcMar>
              <w:left w:w="105" w:type="dxa"/>
              <w:right w:w="105" w:type="dxa"/>
            </w:tcMar>
          </w:tcPr>
          <w:p w14:paraId="23FA40F0">
            <w:pPr>
              <w:spacing w:after="200" w:line="276" w:lineRule="auto"/>
            </w:pPr>
            <w:r>
              <w:rPr>
                <w:rFonts w:ascii="Cambria" w:cs="Cambria"/>
                <w:b/>
                <w:bCs/>
                <w:sz w:val="22"/>
                <w:szCs w:val="22"/>
              </w:rPr>
              <w:t>Internal cohort</w:t>
            </w:r>
            <w:r>
              <w:br w:type="textWrapping"/>
            </w:r>
            <w:r>
              <w:rPr>
                <w:rFonts w:ascii="Cambria" w:cs="Cambria"/>
                <w:b/>
                <w:bCs/>
                <w:sz w:val="22"/>
                <w:szCs w:val="22"/>
              </w:rPr>
              <w:t>(n = 1,088)</w:t>
            </w:r>
          </w:p>
        </w:tc>
        <w:tc>
          <w:tcPr>
            <w:tcBorders>
              <w:top w:val="single" w:sz="6" w:color="7F7F7F"/>
              <w:left w:val="single" w:sz="6" w:color="7F7F7F"/>
              <w:bottom w:val="single" w:sz="6" w:color="7F7F7F"/>
              <w:right w:val="single" w:sz="6" w:color="7F7F7F"/>
            </w:tcBorders>
            <w:tcMar>
              <w:left w:w="105" w:type="dxa"/>
              <w:right w:w="105" w:type="dxa"/>
            </w:tcMar>
          </w:tcPr>
          <w:p w14:paraId="199465B0">
            <w:pPr>
              <w:spacing w:after="200" w:line="276" w:lineRule="auto"/>
            </w:pPr>
            <w:r>
              <w:rPr>
                <w:rFonts w:ascii="Cambria" w:cs="Cambria"/>
                <w:b/>
                <w:bCs/>
                <w:sz w:val="22"/>
                <w:szCs w:val="22"/>
              </w:rPr>
              <w:t>External cohort</w:t>
            </w:r>
            <w:r>
              <w:br w:type="textWrapping"/>
            </w:r>
            <w:r>
              <w:rPr>
                <w:rFonts w:ascii="Cambria" w:cs="Cambria"/>
                <w:b/>
                <w:bCs/>
                <w:sz w:val="22"/>
                <w:szCs w:val="22"/>
              </w:rPr>
              <w:t>(n = 925)</w:t>
            </w:r>
          </w:p>
        </w:tc>
        <w:tc>
          <w:tcPr>
            <w:tcBorders>
              <w:top w:val="single" w:sz="6" w:color="7F7F7F"/>
              <w:left w:val="single" w:sz="6" w:color="7F7F7F"/>
              <w:bottom w:val="single" w:sz="6" w:color="7F7F7F"/>
              <w:right w:val="single" w:sz="6" w:color="7F7F7F"/>
            </w:tcBorders>
            <w:tcMar>
              <w:left w:w="105" w:type="dxa"/>
              <w:right w:w="105" w:type="dxa"/>
            </w:tcMar>
          </w:tcPr>
          <w:p w14:paraId="515B4B77">
            <w:pPr>
              <w:spacing w:after="200" w:line="276" w:lineRule="auto"/>
            </w:pPr>
            <w:r>
              <w:rPr>
                <w:rFonts w:ascii="Cambria" w:cs="Cambria"/>
                <w:b/>
                <w:bCs/>
                <w:sz w:val="22"/>
                <w:szCs w:val="22"/>
              </w:rPr>
              <w:t>p-value</w:t>
            </w:r>
          </w:p>
        </w:tc>
      </w:tr>
      <w:tr>
        <w:tc>
          <w:tcPr>
            <w:tcBorders>
              <w:top w:val="single" w:sz="6" w:color="7F7F7F"/>
              <w:left w:val="single" w:sz="6" w:color="7F7F7F"/>
              <w:bottom w:val="single" w:sz="6" w:color="7F7F7F"/>
              <w:right w:val="single" w:sz="6" w:color="7F7F7F"/>
            </w:tcBorders>
            <w:tcMar>
              <w:left w:w="105" w:type="dxa"/>
              <w:right w:w="105" w:type="dxa"/>
            </w:tcMar>
          </w:tcPr>
          <w:p w14:paraId="32FCB011">
            <w:pPr>
              <w:spacing w:after="200" w:line="276" w:lineRule="auto"/>
            </w:pPr>
            <w:r>
              <w:rPr>
                <w:rFonts w:ascii="Cambria" w:cs="Cambria"/>
                <w:b/>
                <w:bCs/>
                <w:sz w:val="22"/>
                <w:szCs w:val="22"/>
              </w:rPr>
              <w:t>Age, years, mean ± SD</w:t>
            </w:r>
          </w:p>
        </w:tc>
        <w:tc>
          <w:tcPr>
            <w:tcBorders>
              <w:top w:val="single" w:sz="6" w:color="7F7F7F"/>
              <w:left w:val="single" w:sz="6" w:color="7F7F7F"/>
              <w:bottom w:val="single" w:sz="6" w:color="7F7F7F"/>
              <w:right w:val="single" w:sz="6" w:color="7F7F7F"/>
            </w:tcBorders>
            <w:tcMar>
              <w:left w:w="105" w:type="dxa"/>
              <w:right w:w="105" w:type="dxa"/>
            </w:tcMar>
          </w:tcPr>
          <w:p w14:paraId="7065611D">
            <w:pPr>
              <w:spacing w:after="200" w:line="276" w:lineRule="auto"/>
            </w:pPr>
            <w:r>
              <w:rPr>
                <w:rFonts w:ascii="Cambria" w:cs="Cambria"/>
                <w:sz w:val="22"/>
                <w:szCs w:val="22"/>
              </w:rPr>
              <w:t>57.1 ± 12.1</w:t>
            </w:r>
          </w:p>
        </w:tc>
        <w:tc>
          <w:tcPr>
            <w:tcBorders>
              <w:top w:val="single" w:sz="6" w:color="7F7F7F"/>
              <w:left w:val="single" w:sz="6" w:color="7F7F7F"/>
              <w:bottom w:val="single" w:sz="6" w:color="7F7F7F"/>
              <w:right w:val="single" w:sz="6" w:color="7F7F7F"/>
            </w:tcBorders>
            <w:tcMar>
              <w:left w:w="105" w:type="dxa"/>
              <w:right w:w="105" w:type="dxa"/>
            </w:tcMar>
          </w:tcPr>
          <w:p w14:paraId="14121292">
            <w:pPr>
              <w:spacing w:after="200" w:line="276" w:lineRule="auto"/>
            </w:pPr>
            <w:r>
              <w:rPr>
                <w:rFonts w:ascii="Cambria" w:cs="Cambria"/>
                <w:sz w:val="22"/>
                <w:szCs w:val="22"/>
              </w:rPr>
              <w:t>59.5 ± 12.7</w:t>
            </w:r>
          </w:p>
        </w:tc>
        <w:tc>
          <w:tcPr>
            <w:tcBorders>
              <w:top w:val="single" w:sz="6" w:color="7F7F7F"/>
              <w:left w:val="single" w:sz="6" w:color="7F7F7F"/>
              <w:bottom w:val="single" w:sz="6" w:color="7F7F7F"/>
              <w:right w:val="single" w:sz="6" w:color="7F7F7F"/>
            </w:tcBorders>
            <w:tcMar>
              <w:left w:w="105" w:type="dxa"/>
              <w:right w:w="105" w:type="dxa"/>
            </w:tcMar>
          </w:tcPr>
          <w:p w14:paraId="762A3AAC">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1CFA4489">
            <w:pPr>
              <w:spacing w:after="200" w:line="276" w:lineRule="auto"/>
            </w:pPr>
            <w:r>
              <w:rPr>
                <w:rFonts w:ascii="Cambria" w:cs="Cambria"/>
                <w:b/>
                <w:bCs/>
                <w:sz w:val="22"/>
                <w:szCs w:val="22"/>
              </w:rPr>
              <w:t>Age, years, range</w:t>
            </w:r>
          </w:p>
        </w:tc>
        <w:tc>
          <w:tcPr>
            <w:tcBorders>
              <w:top w:val="single" w:sz="6" w:color="7F7F7F"/>
              <w:left w:val="single" w:sz="6" w:color="7F7F7F"/>
              <w:bottom w:val="single" w:sz="6" w:color="7F7F7F"/>
              <w:right w:val="single" w:sz="6" w:color="7F7F7F"/>
            </w:tcBorders>
            <w:tcMar>
              <w:left w:w="105" w:type="dxa"/>
              <w:right w:w="105" w:type="dxa"/>
            </w:tcMar>
          </w:tcPr>
          <w:p w14:paraId="58844713">
            <w:pPr>
              <w:spacing w:after="200" w:line="276" w:lineRule="auto"/>
            </w:pPr>
            <w:r>
              <w:rPr>
                <w:rFonts w:ascii="Cambria" w:cs="Cambria"/>
                <w:sz w:val="22"/>
                <w:szCs w:val="22"/>
              </w:rPr>
              <w:t>20–91</w:t>
            </w:r>
          </w:p>
        </w:tc>
        <w:tc>
          <w:tcPr>
            <w:tcBorders>
              <w:top w:val="single" w:sz="6" w:color="7F7F7F"/>
              <w:left w:val="single" w:sz="6" w:color="7F7F7F"/>
              <w:bottom w:val="single" w:sz="6" w:color="7F7F7F"/>
              <w:right w:val="single" w:sz="6" w:color="7F7F7F"/>
            </w:tcBorders>
            <w:tcMar>
              <w:left w:w="105" w:type="dxa"/>
              <w:right w:w="105" w:type="dxa"/>
            </w:tcMar>
          </w:tcPr>
          <w:p w14:paraId="6B6A001F">
            <w:pPr>
              <w:spacing w:after="200" w:line="276" w:lineRule="auto"/>
            </w:pPr>
            <w:r>
              <w:rPr>
                <w:rFonts w:ascii="Cambria" w:cs="Cambria"/>
                <w:sz w:val="22"/>
                <w:szCs w:val="22"/>
              </w:rPr>
              <w:t>20–90</w:t>
            </w:r>
          </w:p>
        </w:tc>
        <w:tc>
          <w:tcPr>
            <w:tcBorders>
              <w:top w:val="single" w:sz="6" w:color="7F7F7F"/>
              <w:left w:val="single" w:sz="6" w:color="7F7F7F"/>
              <w:bottom w:val="single" w:sz="6" w:color="7F7F7F"/>
              <w:right w:val="single" w:sz="6" w:color="7F7F7F"/>
            </w:tcBorders>
            <w:tcMar>
              <w:left w:w="105" w:type="dxa"/>
              <w:right w:w="105" w:type="dxa"/>
            </w:tcMar>
          </w:tcPr>
          <w:p w14:paraId="6745E8D3">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9483C62">
            <w:pPr>
              <w:spacing w:after="200" w:line="276" w:lineRule="auto"/>
            </w:pPr>
            <w:r>
              <w:rPr>
                <w:rFonts w:ascii="Cambria" w:cs="Cambria"/>
                <w:b/>
                <w:bCs/>
                <w:sz w:val="22"/>
                <w:szCs w:val="22"/>
              </w:rPr>
              <w:t>Sex, n (%)</w:t>
            </w:r>
          </w:p>
        </w:tc>
        <w:tc>
          <w:tcPr>
            <w:tcBorders>
              <w:top w:val="single" w:sz="6" w:color="7F7F7F"/>
              <w:left w:val="single" w:sz="6" w:color="7F7F7F"/>
              <w:bottom w:val="single" w:sz="6" w:color="7F7F7F"/>
              <w:right w:val="single" w:sz="6" w:color="7F7F7F"/>
            </w:tcBorders>
            <w:tcMar>
              <w:left w:w="105" w:type="dxa"/>
              <w:right w:w="105" w:type="dxa"/>
            </w:tcMar>
          </w:tcPr>
          <w:p w14:paraId="7100155A">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22A91DC5">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67EEF688">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1802F39A">
            <w:pPr>
              <w:spacing w:after="200" w:line="276" w:lineRule="auto"/>
            </w:pPr>
            <w:r>
              <w:rPr>
                <w:rFonts w:ascii="Cambria" w:cs="Cambria"/>
                <w:b/>
                <w:bCs/>
                <w:sz w:val="22"/>
                <w:szCs w:val="22"/>
              </w:rPr>
              <w:t>— Female</w:t>
            </w:r>
          </w:p>
        </w:tc>
        <w:tc>
          <w:tcPr>
            <w:tcBorders>
              <w:top w:val="single" w:sz="6" w:color="7F7F7F"/>
              <w:left w:val="single" w:sz="6" w:color="7F7F7F"/>
              <w:bottom w:val="single" w:sz="6" w:color="7F7F7F"/>
              <w:right w:val="single" w:sz="6" w:color="7F7F7F"/>
            </w:tcBorders>
            <w:tcMar>
              <w:left w:w="105" w:type="dxa"/>
              <w:right w:w="105" w:type="dxa"/>
            </w:tcMar>
          </w:tcPr>
          <w:p w14:paraId="2B368BE9">
            <w:pPr>
              <w:spacing w:after="200" w:line="276" w:lineRule="auto"/>
            </w:pPr>
            <w:r>
              <w:rPr>
                <w:rFonts w:ascii="Cambria" w:cs="Cambria"/>
                <w:sz w:val="22"/>
                <w:szCs w:val="22"/>
              </w:rPr>
              <w:t>698 (64.2)</w:t>
            </w:r>
          </w:p>
        </w:tc>
        <w:tc>
          <w:tcPr>
            <w:tcBorders>
              <w:top w:val="single" w:sz="6" w:color="7F7F7F"/>
              <w:left w:val="single" w:sz="6" w:color="7F7F7F"/>
              <w:bottom w:val="single" w:sz="6" w:color="7F7F7F"/>
              <w:right w:val="single" w:sz="6" w:color="7F7F7F"/>
            </w:tcBorders>
            <w:tcMar>
              <w:left w:w="105" w:type="dxa"/>
              <w:right w:w="105" w:type="dxa"/>
            </w:tcMar>
          </w:tcPr>
          <w:p w14:paraId="72E4EDBF">
            <w:pPr>
              <w:spacing w:after="200" w:line="276" w:lineRule="auto"/>
            </w:pPr>
            <w:r>
              <w:rPr>
                <w:rFonts w:ascii="Cambria" w:cs="Cambria"/>
                <w:sz w:val="22"/>
                <w:szCs w:val="22"/>
              </w:rPr>
              <w:t>498 (53.8)</w:t>
            </w:r>
          </w:p>
        </w:tc>
        <w:tc>
          <w:tcPr>
            <w:tcBorders>
              <w:top w:val="single" w:sz="6" w:color="7F7F7F"/>
              <w:left w:val="single" w:sz="6" w:color="7F7F7F"/>
              <w:bottom w:val="single" w:sz="6" w:color="7F7F7F"/>
              <w:right w:val="single" w:sz="6" w:color="7F7F7F"/>
            </w:tcBorders>
            <w:tcMar>
              <w:left w:w="105" w:type="dxa"/>
              <w:right w:w="105" w:type="dxa"/>
            </w:tcMar>
          </w:tcPr>
          <w:p w14:paraId="0B741F85">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FEC89AE">
            <w:pPr>
              <w:spacing w:after="200" w:line="276" w:lineRule="auto"/>
            </w:pPr>
            <w:r>
              <w:rPr>
                <w:rFonts w:ascii="Cambria" w:cs="Cambria"/>
                <w:b/>
                <w:bCs/>
                <w:sz w:val="22"/>
                <w:szCs w:val="22"/>
              </w:rPr>
              <w:t>— Male</w:t>
            </w:r>
          </w:p>
        </w:tc>
        <w:tc>
          <w:tcPr>
            <w:tcBorders>
              <w:top w:val="single" w:sz="6" w:color="7F7F7F"/>
              <w:left w:val="single" w:sz="6" w:color="7F7F7F"/>
              <w:bottom w:val="single" w:sz="6" w:color="7F7F7F"/>
              <w:right w:val="single" w:sz="6" w:color="7F7F7F"/>
            </w:tcBorders>
            <w:tcMar>
              <w:left w:w="105" w:type="dxa"/>
              <w:right w:w="105" w:type="dxa"/>
            </w:tcMar>
          </w:tcPr>
          <w:p w14:paraId="0598A83D">
            <w:pPr>
              <w:spacing w:after="200" w:line="276" w:lineRule="auto"/>
            </w:pPr>
            <w:r>
              <w:rPr>
                <w:rFonts w:ascii="Cambria" w:cs="Cambria"/>
                <w:sz w:val="22"/>
                <w:szCs w:val="22"/>
              </w:rPr>
              <w:t>390 (35.8)</w:t>
            </w:r>
          </w:p>
        </w:tc>
        <w:tc>
          <w:tcPr>
            <w:tcBorders>
              <w:top w:val="single" w:sz="6" w:color="7F7F7F"/>
              <w:left w:val="single" w:sz="6" w:color="7F7F7F"/>
              <w:bottom w:val="single" w:sz="6" w:color="7F7F7F"/>
              <w:right w:val="single" w:sz="6" w:color="7F7F7F"/>
            </w:tcBorders>
            <w:tcMar>
              <w:left w:w="105" w:type="dxa"/>
              <w:right w:w="105" w:type="dxa"/>
            </w:tcMar>
          </w:tcPr>
          <w:p w14:paraId="522F40F8">
            <w:pPr>
              <w:spacing w:after="200" w:line="276" w:lineRule="auto"/>
            </w:pPr>
            <w:r>
              <w:rPr>
                <w:rFonts w:ascii="Cambria" w:cs="Cambria"/>
                <w:sz w:val="22"/>
                <w:szCs w:val="22"/>
              </w:rPr>
              <w:t>427 (46.2)</w:t>
            </w:r>
          </w:p>
        </w:tc>
        <w:tc>
          <w:tcPr>
            <w:tcBorders>
              <w:top w:val="single" w:sz="6" w:color="7F7F7F"/>
              <w:left w:val="single" w:sz="6" w:color="7F7F7F"/>
              <w:bottom w:val="single" w:sz="6" w:color="7F7F7F"/>
              <w:right w:val="single" w:sz="6" w:color="7F7F7F"/>
            </w:tcBorders>
            <w:tcMar>
              <w:left w:w="105" w:type="dxa"/>
              <w:right w:w="105" w:type="dxa"/>
            </w:tcMar>
          </w:tcPr>
          <w:p w14:paraId="50148338">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158EF650">
            <w:pPr>
              <w:spacing w:after="200" w:line="276" w:lineRule="auto"/>
            </w:pPr>
            <w:r>
              <w:rPr>
                <w:rFonts w:ascii="Cambria" w:cs="Cambria"/>
                <w:b/>
                <w:bCs/>
                <w:sz w:val="22"/>
                <w:szCs w:val="22"/>
              </w:rPr>
              <w:t>Height, cm, mean ± SD</w:t>
            </w:r>
          </w:p>
        </w:tc>
        <w:tc>
          <w:tcPr>
            <w:tcBorders>
              <w:top w:val="single" w:sz="6" w:color="7F7F7F"/>
              <w:left w:val="single" w:sz="6" w:color="7F7F7F"/>
              <w:bottom w:val="single" w:sz="6" w:color="7F7F7F"/>
              <w:right w:val="single" w:sz="6" w:color="7F7F7F"/>
            </w:tcBorders>
            <w:tcMar>
              <w:left w:w="105" w:type="dxa"/>
              <w:right w:w="105" w:type="dxa"/>
            </w:tcMar>
          </w:tcPr>
          <w:p w14:paraId="26A915BD">
            <w:pPr>
              <w:spacing w:after="200" w:line="276" w:lineRule="auto"/>
            </w:pPr>
            <w:r>
              <w:rPr>
                <w:rFonts w:ascii="Cambria" w:cs="Cambria"/>
                <w:sz w:val="22"/>
                <w:szCs w:val="22"/>
              </w:rPr>
              <w:t>162.2 ± 8.2</w:t>
            </w:r>
          </w:p>
        </w:tc>
        <w:tc>
          <w:tcPr>
            <w:tcBorders>
              <w:top w:val="single" w:sz="6" w:color="7F7F7F"/>
              <w:left w:val="single" w:sz="6" w:color="7F7F7F"/>
              <w:bottom w:val="single" w:sz="6" w:color="7F7F7F"/>
              <w:right w:val="single" w:sz="6" w:color="7F7F7F"/>
            </w:tcBorders>
            <w:tcMar>
              <w:left w:w="105" w:type="dxa"/>
              <w:right w:w="105" w:type="dxa"/>
            </w:tcMar>
          </w:tcPr>
          <w:p w14:paraId="4241C170">
            <w:pPr>
              <w:spacing w:after="200" w:line="276" w:lineRule="auto"/>
            </w:pPr>
            <w:r>
              <w:rPr>
                <w:rFonts w:ascii="Cambria" w:cs="Cambria"/>
                <w:sz w:val="22"/>
                <w:szCs w:val="22"/>
              </w:rPr>
              <w:t>162.5 ± 8.6</w:t>
            </w:r>
          </w:p>
        </w:tc>
        <w:tc>
          <w:tcPr>
            <w:tcBorders>
              <w:top w:val="single" w:sz="6" w:color="7F7F7F"/>
              <w:left w:val="single" w:sz="6" w:color="7F7F7F"/>
              <w:bottom w:val="single" w:sz="6" w:color="7F7F7F"/>
              <w:right w:val="single" w:sz="6" w:color="7F7F7F"/>
            </w:tcBorders>
            <w:tcMar>
              <w:left w:w="105" w:type="dxa"/>
              <w:right w:w="105" w:type="dxa"/>
            </w:tcMar>
          </w:tcPr>
          <w:p w14:paraId="7D644742">
            <w:pPr>
              <w:spacing w:after="200" w:line="276" w:lineRule="auto"/>
            </w:pPr>
            <w:r>
              <w:rPr>
                <w:rFonts w:ascii="Cambria" w:cs="Cambria"/>
                <w:sz w:val="22"/>
                <w:szCs w:val="22"/>
              </w:rPr>
              <w:t>0.414</w:t>
            </w:r>
          </w:p>
        </w:tc>
      </w:tr>
      <w:tr>
        <w:tc>
          <w:tcPr>
            <w:tcBorders>
              <w:top w:val="single" w:sz="6" w:color="7F7F7F"/>
              <w:left w:val="single" w:sz="6" w:color="7F7F7F"/>
              <w:bottom w:val="single" w:sz="6" w:color="7F7F7F"/>
              <w:right w:val="single" w:sz="6" w:color="7F7F7F"/>
            </w:tcBorders>
            <w:tcMar>
              <w:left w:w="105" w:type="dxa"/>
              <w:right w:w="105" w:type="dxa"/>
            </w:tcMar>
          </w:tcPr>
          <w:p w14:paraId="7AD1B17E">
            <w:pPr>
              <w:spacing w:after="200" w:line="276" w:lineRule="auto"/>
            </w:pPr>
            <w:r>
              <w:rPr>
                <w:rFonts w:ascii="Cambria" w:cs="Cambria"/>
                <w:b/>
                <w:bCs/>
                <w:sz w:val="22"/>
                <w:szCs w:val="22"/>
              </w:rPr>
              <w:t>Weight, kg, mean ± SD</w:t>
            </w:r>
          </w:p>
        </w:tc>
        <w:tc>
          <w:tcPr>
            <w:tcBorders>
              <w:top w:val="single" w:sz="6" w:color="7F7F7F"/>
              <w:left w:val="single" w:sz="6" w:color="7F7F7F"/>
              <w:bottom w:val="single" w:sz="6" w:color="7F7F7F"/>
              <w:right w:val="single" w:sz="6" w:color="7F7F7F"/>
            </w:tcBorders>
            <w:tcMar>
              <w:left w:w="105" w:type="dxa"/>
              <w:right w:w="105" w:type="dxa"/>
            </w:tcMar>
          </w:tcPr>
          <w:p w14:paraId="799B3AF7">
            <w:pPr>
              <w:spacing w:after="200" w:line="276" w:lineRule="auto"/>
            </w:pPr>
            <w:r>
              <w:rPr>
                <w:rFonts w:ascii="Cambria" w:cs="Cambria"/>
                <w:sz w:val="22"/>
                <w:szCs w:val="22"/>
              </w:rPr>
              <w:t>61.9 ± 10.6</w:t>
            </w:r>
          </w:p>
        </w:tc>
        <w:tc>
          <w:tcPr>
            <w:tcBorders>
              <w:top w:val="single" w:sz="6" w:color="7F7F7F"/>
              <w:left w:val="single" w:sz="6" w:color="7F7F7F"/>
              <w:bottom w:val="single" w:sz="6" w:color="7F7F7F"/>
              <w:right w:val="single" w:sz="6" w:color="7F7F7F"/>
            </w:tcBorders>
            <w:tcMar>
              <w:left w:w="105" w:type="dxa"/>
              <w:right w:w="105" w:type="dxa"/>
            </w:tcMar>
          </w:tcPr>
          <w:p w14:paraId="5D58B83C">
            <w:pPr>
              <w:spacing w:after="200" w:line="276" w:lineRule="auto"/>
            </w:pPr>
            <w:r>
              <w:rPr>
                <w:rFonts w:ascii="Cambria" w:cs="Cambria"/>
                <w:sz w:val="22"/>
                <w:szCs w:val="22"/>
              </w:rPr>
              <w:t>61.8 ± 11.4</w:t>
            </w:r>
          </w:p>
        </w:tc>
        <w:tc>
          <w:tcPr>
            <w:tcBorders>
              <w:top w:val="single" w:sz="6" w:color="7F7F7F"/>
              <w:left w:val="single" w:sz="6" w:color="7F7F7F"/>
              <w:bottom w:val="single" w:sz="6" w:color="7F7F7F"/>
              <w:right w:val="single" w:sz="6" w:color="7F7F7F"/>
            </w:tcBorders>
            <w:tcMar>
              <w:left w:w="105" w:type="dxa"/>
              <w:right w:w="105" w:type="dxa"/>
            </w:tcMar>
          </w:tcPr>
          <w:p w14:paraId="34279BD9">
            <w:pPr>
              <w:spacing w:after="200" w:line="276" w:lineRule="auto"/>
            </w:pPr>
            <w:r>
              <w:rPr>
                <w:rFonts w:ascii="Cambria" w:cs="Cambria"/>
                <w:sz w:val="22"/>
                <w:szCs w:val="22"/>
              </w:rPr>
              <w:t>0.843</w:t>
            </w:r>
          </w:p>
        </w:tc>
      </w:tr>
      <w:tr>
        <w:tc>
          <w:tcPr>
            <w:tcBorders>
              <w:top w:val="single" w:sz="6" w:color="7F7F7F"/>
              <w:left w:val="single" w:sz="6" w:color="7F7F7F"/>
              <w:bottom w:val="single" w:sz="6" w:color="7F7F7F"/>
              <w:right w:val="single" w:sz="6" w:color="7F7F7F"/>
            </w:tcBorders>
            <w:tcMar>
              <w:left w:w="105" w:type="dxa"/>
              <w:right w:w="105" w:type="dxa"/>
            </w:tcMar>
          </w:tcPr>
          <w:p w14:paraId="332DDC36">
            <w:pPr>
              <w:spacing w:after="200" w:line="276" w:lineRule="auto"/>
            </w:pPr>
            <w:r>
              <w:rPr>
                <w:rFonts w:ascii="Cambria" w:cs="Cambria"/>
                <w:b/>
                <w:bCs/>
                <w:sz w:val="22"/>
                <w:szCs w:val="22"/>
              </w:rPr>
              <w:t>BMI, kg/m², mean ± SD</w:t>
            </w:r>
          </w:p>
        </w:tc>
        <w:tc>
          <w:tcPr>
            <w:tcBorders>
              <w:top w:val="single" w:sz="6" w:color="7F7F7F"/>
              <w:left w:val="single" w:sz="6" w:color="7F7F7F"/>
              <w:bottom w:val="single" w:sz="6" w:color="7F7F7F"/>
              <w:right w:val="single" w:sz="6" w:color="7F7F7F"/>
            </w:tcBorders>
            <w:tcMar>
              <w:left w:w="105" w:type="dxa"/>
              <w:right w:w="105" w:type="dxa"/>
            </w:tcMar>
          </w:tcPr>
          <w:p w14:paraId="0DF0C4E2">
            <w:pPr>
              <w:spacing w:after="200" w:line="276" w:lineRule="auto"/>
            </w:pPr>
            <w:r>
              <w:rPr>
                <w:rFonts w:ascii="Cambria" w:cs="Cambria"/>
                <w:sz w:val="22"/>
                <w:szCs w:val="22"/>
              </w:rPr>
              <w:t>23.5 ± 3.1</w:t>
            </w:r>
          </w:p>
        </w:tc>
        <w:tc>
          <w:tcPr>
            <w:tcBorders>
              <w:top w:val="single" w:sz="6" w:color="7F7F7F"/>
              <w:left w:val="single" w:sz="6" w:color="7F7F7F"/>
              <w:bottom w:val="single" w:sz="6" w:color="7F7F7F"/>
              <w:right w:val="single" w:sz="6" w:color="7F7F7F"/>
            </w:tcBorders>
            <w:tcMar>
              <w:left w:w="105" w:type="dxa"/>
              <w:right w:w="105" w:type="dxa"/>
            </w:tcMar>
          </w:tcPr>
          <w:p w14:paraId="71C8F1CD">
            <w:pPr>
              <w:spacing w:after="200" w:line="276" w:lineRule="auto"/>
            </w:pPr>
            <w:r>
              <w:rPr>
                <w:rFonts w:ascii="Cambria" w:cs="Cambria"/>
                <w:sz w:val="22"/>
                <w:szCs w:val="22"/>
              </w:rPr>
              <w:t>23.3 ± 3.4</w:t>
            </w:r>
          </w:p>
        </w:tc>
        <w:tc>
          <w:tcPr>
            <w:tcBorders>
              <w:top w:val="single" w:sz="6" w:color="7F7F7F"/>
              <w:left w:val="single" w:sz="6" w:color="7F7F7F"/>
              <w:bottom w:val="single" w:sz="6" w:color="7F7F7F"/>
              <w:right w:val="single" w:sz="6" w:color="7F7F7F"/>
            </w:tcBorders>
            <w:tcMar>
              <w:left w:w="105" w:type="dxa"/>
              <w:right w:w="105" w:type="dxa"/>
            </w:tcMar>
          </w:tcPr>
          <w:p w14:paraId="1B85938E">
            <w:pPr>
              <w:spacing w:after="200" w:line="276" w:lineRule="auto"/>
            </w:pPr>
            <w:r>
              <w:rPr>
                <w:rFonts w:ascii="Cambria" w:cs="Cambria"/>
                <w:sz w:val="22"/>
                <w:szCs w:val="22"/>
              </w:rPr>
              <w:t>0.353</w:t>
            </w:r>
          </w:p>
        </w:tc>
      </w:tr>
      <w:tr>
        <w:tc>
          <w:tcPr>
            <w:tcBorders>
              <w:top w:val="single" w:sz="6" w:color="7F7F7F"/>
              <w:left w:val="single" w:sz="6" w:color="7F7F7F"/>
              <w:bottom w:val="single" w:sz="6" w:color="7F7F7F"/>
              <w:right w:val="single" w:sz="6" w:color="7F7F7F"/>
            </w:tcBorders>
            <w:tcMar>
              <w:left w:w="105" w:type="dxa"/>
              <w:right w:w="105" w:type="dxa"/>
            </w:tcMar>
          </w:tcPr>
          <w:p w14:paraId="140C36DB">
            <w:pPr>
              <w:spacing w:after="200" w:line="276" w:lineRule="auto"/>
            </w:pPr>
            <w:r>
              <w:rPr>
                <w:rFonts w:ascii="Cambria" w:cs="Cambria"/>
                <w:b/>
                <w:bCs/>
                <w:sz w:val="22"/>
                <w:szCs w:val="22"/>
              </w:rPr>
              <w:t>Hypertension, n (%)</w:t>
            </w:r>
          </w:p>
        </w:tc>
        <w:tc>
          <w:tcPr>
            <w:tcBorders>
              <w:top w:val="single" w:sz="6" w:color="7F7F7F"/>
              <w:left w:val="single" w:sz="6" w:color="7F7F7F"/>
              <w:bottom w:val="single" w:sz="6" w:color="7F7F7F"/>
              <w:right w:val="single" w:sz="6" w:color="7F7F7F"/>
            </w:tcBorders>
            <w:tcMar>
              <w:left w:w="105" w:type="dxa"/>
              <w:right w:w="105" w:type="dxa"/>
            </w:tcMar>
          </w:tcPr>
          <w:p w14:paraId="67DF50E0">
            <w:pPr>
              <w:spacing w:after="200" w:line="276" w:lineRule="auto"/>
            </w:pPr>
            <w:r>
              <w:rPr>
                <w:rFonts w:ascii="Cambria" w:cs="Cambria"/>
                <w:sz w:val="22"/>
                <w:szCs w:val="22"/>
              </w:rPr>
              <w:t>329 (30.2)</w:t>
            </w:r>
          </w:p>
        </w:tc>
        <w:tc>
          <w:tcPr>
            <w:tcBorders>
              <w:top w:val="single" w:sz="6" w:color="7F7F7F"/>
              <w:left w:val="single" w:sz="6" w:color="7F7F7F"/>
              <w:bottom w:val="single" w:sz="6" w:color="7F7F7F"/>
              <w:right w:val="single" w:sz="6" w:color="7F7F7F"/>
            </w:tcBorders>
            <w:tcMar>
              <w:left w:w="105" w:type="dxa"/>
              <w:right w:w="105" w:type="dxa"/>
            </w:tcMar>
          </w:tcPr>
          <w:p w14:paraId="26D82ED9">
            <w:pPr>
              <w:spacing w:after="200" w:line="276" w:lineRule="auto"/>
            </w:pPr>
            <w:r>
              <w:rPr>
                <w:rFonts w:ascii="Cambria" w:cs="Cambria"/>
                <w:sz w:val="22"/>
                <w:szCs w:val="22"/>
              </w:rPr>
              <w:t>425 (45.9)</w:t>
            </w:r>
          </w:p>
        </w:tc>
        <w:tc>
          <w:tcPr>
            <w:tcBorders>
              <w:top w:val="single" w:sz="6" w:color="7F7F7F"/>
              <w:left w:val="single" w:sz="6" w:color="7F7F7F"/>
              <w:bottom w:val="single" w:sz="6" w:color="7F7F7F"/>
              <w:right w:val="single" w:sz="6" w:color="7F7F7F"/>
            </w:tcBorders>
            <w:tcMar>
              <w:left w:w="105" w:type="dxa"/>
              <w:right w:w="105" w:type="dxa"/>
            </w:tcMar>
          </w:tcPr>
          <w:p w14:paraId="601D4F40">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40DE94EE">
            <w:pPr>
              <w:spacing w:after="200" w:line="276" w:lineRule="auto"/>
            </w:pPr>
            <w:r>
              <w:rPr>
                <w:rFonts w:ascii="Cambria" w:cs="Cambria"/>
                <w:b/>
                <w:bCs/>
                <w:sz w:val="22"/>
                <w:szCs w:val="22"/>
              </w:rPr>
              <w:t>Diabetes mellitus, n (%)</w:t>
            </w:r>
          </w:p>
        </w:tc>
        <w:tc>
          <w:tcPr>
            <w:tcBorders>
              <w:top w:val="single" w:sz="6" w:color="7F7F7F"/>
              <w:left w:val="single" w:sz="6" w:color="7F7F7F"/>
              <w:bottom w:val="single" w:sz="6" w:color="7F7F7F"/>
              <w:right w:val="single" w:sz="6" w:color="7F7F7F"/>
            </w:tcBorders>
            <w:tcMar>
              <w:left w:w="105" w:type="dxa"/>
              <w:right w:w="105" w:type="dxa"/>
            </w:tcMar>
          </w:tcPr>
          <w:p w14:paraId="329BF95B">
            <w:pPr>
              <w:spacing w:after="200" w:line="276" w:lineRule="auto"/>
            </w:pPr>
            <w:r>
              <w:rPr>
                <w:rFonts w:ascii="Cambria" w:cs="Cambria"/>
                <w:sz w:val="22"/>
                <w:szCs w:val="22"/>
              </w:rPr>
              <w:t>204 (18.8)</w:t>
            </w:r>
          </w:p>
        </w:tc>
        <w:tc>
          <w:tcPr>
            <w:tcBorders>
              <w:top w:val="single" w:sz="6" w:color="7F7F7F"/>
              <w:left w:val="single" w:sz="6" w:color="7F7F7F"/>
              <w:bottom w:val="single" w:sz="6" w:color="7F7F7F"/>
              <w:right w:val="single" w:sz="6" w:color="7F7F7F"/>
            </w:tcBorders>
            <w:tcMar>
              <w:left w:w="105" w:type="dxa"/>
              <w:right w:w="105" w:type="dxa"/>
            </w:tcMar>
          </w:tcPr>
          <w:p w14:paraId="7611E125">
            <w:pPr>
              <w:spacing w:after="200" w:line="276" w:lineRule="auto"/>
            </w:pPr>
            <w:r>
              <w:rPr>
                <w:rFonts w:ascii="Cambria" w:cs="Cambria"/>
                <w:sz w:val="22"/>
                <w:szCs w:val="22"/>
              </w:rPr>
              <w:t>285 (30.8)</w:t>
            </w:r>
          </w:p>
        </w:tc>
        <w:tc>
          <w:tcPr>
            <w:tcBorders>
              <w:top w:val="single" w:sz="6" w:color="7F7F7F"/>
              <w:left w:val="single" w:sz="6" w:color="7F7F7F"/>
              <w:bottom w:val="single" w:sz="6" w:color="7F7F7F"/>
              <w:right w:val="single" w:sz="6" w:color="7F7F7F"/>
            </w:tcBorders>
            <w:tcMar>
              <w:left w:w="105" w:type="dxa"/>
              <w:right w:w="105" w:type="dxa"/>
            </w:tcMar>
          </w:tcPr>
          <w:p w14:paraId="61E9C8B8">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4F2F3FC0">
            <w:pPr>
              <w:spacing w:after="200" w:line="276" w:lineRule="auto"/>
            </w:pPr>
            <w:r>
              <w:rPr>
                <w:rFonts w:ascii="Cambria" w:cs="Cambria"/>
                <w:b/>
                <w:bCs/>
                <w:sz w:val="22"/>
                <w:szCs w:val="22"/>
              </w:rPr>
              <w:t>Chronic kidney disease, n (%)</w:t>
            </w:r>
          </w:p>
        </w:tc>
        <w:tc>
          <w:tcPr>
            <w:tcBorders>
              <w:top w:val="single" w:sz="6" w:color="7F7F7F"/>
              <w:left w:val="single" w:sz="6" w:color="7F7F7F"/>
              <w:bottom w:val="single" w:sz="6" w:color="7F7F7F"/>
              <w:right w:val="single" w:sz="6" w:color="7F7F7F"/>
            </w:tcBorders>
            <w:tcMar>
              <w:left w:w="105" w:type="dxa"/>
              <w:right w:w="105" w:type="dxa"/>
            </w:tcMar>
          </w:tcPr>
          <w:p w14:paraId="0555C0CE">
            <w:pPr>
              <w:spacing w:after="200" w:line="276" w:lineRule="auto"/>
            </w:pPr>
            <w:r>
              <w:rPr>
                <w:rFonts w:ascii="Cambria" w:cs="Cambria"/>
                <w:sz w:val="22"/>
                <w:szCs w:val="22"/>
              </w:rPr>
              <w:t>83 (7.6)</w:t>
            </w:r>
          </w:p>
        </w:tc>
        <w:tc>
          <w:tcPr>
            <w:tcBorders>
              <w:top w:val="single" w:sz="6" w:color="7F7F7F"/>
              <w:left w:val="single" w:sz="6" w:color="7F7F7F"/>
              <w:bottom w:val="single" w:sz="6" w:color="7F7F7F"/>
              <w:right w:val="single" w:sz="6" w:color="7F7F7F"/>
            </w:tcBorders>
            <w:tcMar>
              <w:left w:w="105" w:type="dxa"/>
              <w:right w:w="105" w:type="dxa"/>
            </w:tcMar>
          </w:tcPr>
          <w:p w14:paraId="09E94746">
            <w:pPr>
              <w:spacing w:after="200" w:line="276" w:lineRule="auto"/>
            </w:pPr>
            <w:r>
              <w:rPr>
                <w:rFonts w:ascii="Cambria" w:cs="Cambria"/>
                <w:sz w:val="22"/>
                <w:szCs w:val="22"/>
              </w:rPr>
              <w:t>168 (18.2)</w:t>
            </w:r>
          </w:p>
        </w:tc>
        <w:tc>
          <w:tcPr>
            <w:tcBorders>
              <w:top w:val="single" w:sz="6" w:color="7F7F7F"/>
              <w:left w:val="single" w:sz="6" w:color="7F7F7F"/>
              <w:bottom w:val="single" w:sz="6" w:color="7F7F7F"/>
              <w:right w:val="single" w:sz="6" w:color="7F7F7F"/>
            </w:tcBorders>
            <w:tcMar>
              <w:left w:w="105" w:type="dxa"/>
              <w:right w:w="105" w:type="dxa"/>
            </w:tcMar>
          </w:tcPr>
          <w:p w14:paraId="0291BFFC">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26FA1154">
            <w:pPr>
              <w:spacing w:after="200" w:line="276" w:lineRule="auto"/>
            </w:pPr>
            <w:r>
              <w:rPr>
                <w:rFonts w:ascii="Cambria" w:cs="Cambria"/>
                <w:b/>
                <w:bCs/>
                <w:sz w:val="22"/>
                <w:szCs w:val="22"/>
              </w:rPr>
              <w:t>CT scanner vendor, n (%)</w:t>
            </w:r>
          </w:p>
        </w:tc>
        <w:tc>
          <w:tcPr>
            <w:tcBorders>
              <w:top w:val="single" w:sz="6" w:color="7F7F7F"/>
              <w:left w:val="single" w:sz="6" w:color="7F7F7F"/>
              <w:bottom w:val="single" w:sz="6" w:color="7F7F7F"/>
              <w:right w:val="single" w:sz="6" w:color="7F7F7F"/>
            </w:tcBorders>
            <w:tcMar>
              <w:left w:w="105" w:type="dxa"/>
              <w:right w:w="105" w:type="dxa"/>
            </w:tcMar>
          </w:tcPr>
          <w:p w14:paraId="7D4CC629">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24A24A5E">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4304F756">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3E523FC0">
            <w:pPr>
              <w:spacing w:after="200" w:line="276" w:lineRule="auto"/>
            </w:pPr>
            <w:r>
              <w:rPr>
                <w:rFonts w:ascii="Cambria" w:cs="Cambria"/>
                <w:b/>
                <w:bCs/>
                <w:sz w:val="22"/>
                <w:szCs w:val="22"/>
              </w:rPr>
              <w:t>— Siemens</w:t>
            </w:r>
          </w:p>
        </w:tc>
        <w:tc>
          <w:tcPr>
            <w:tcBorders>
              <w:top w:val="single" w:sz="6" w:color="7F7F7F"/>
              <w:left w:val="single" w:sz="6" w:color="7F7F7F"/>
              <w:bottom w:val="single" w:sz="6" w:color="7F7F7F"/>
              <w:right w:val="single" w:sz="6" w:color="7F7F7F"/>
            </w:tcBorders>
            <w:tcMar>
              <w:left w:w="105" w:type="dxa"/>
              <w:right w:w="105" w:type="dxa"/>
            </w:tcMar>
          </w:tcPr>
          <w:p w14:paraId="01A4FDF2">
            <w:pPr>
              <w:spacing w:after="200" w:line="276" w:lineRule="auto"/>
            </w:pPr>
            <w:r>
              <w:rPr>
                <w:rFonts w:ascii="Cambria" w:cs="Cambria"/>
                <w:sz w:val="22"/>
                <w:szCs w:val="22"/>
              </w:rPr>
              <w:t>566 (52.0)</w:t>
            </w:r>
          </w:p>
        </w:tc>
        <w:tc>
          <w:tcPr>
            <w:tcBorders>
              <w:top w:val="single" w:sz="6" w:color="7F7F7F"/>
              <w:left w:val="single" w:sz="6" w:color="7F7F7F"/>
              <w:bottom w:val="single" w:sz="6" w:color="7F7F7F"/>
              <w:right w:val="single" w:sz="6" w:color="7F7F7F"/>
            </w:tcBorders>
            <w:tcMar>
              <w:left w:w="105" w:type="dxa"/>
              <w:right w:w="105" w:type="dxa"/>
            </w:tcMar>
          </w:tcPr>
          <w:p w14:paraId="09E05D4D">
            <w:pPr>
              <w:spacing w:after="200" w:line="276" w:lineRule="auto"/>
            </w:pPr>
            <w:r>
              <w:rPr>
                <w:rFonts w:ascii="Cambria" w:cs="Cambria"/>
                <w:sz w:val="22"/>
                <w:szCs w:val="22"/>
              </w:rPr>
              <w:t>568 (61.4)</w:t>
            </w:r>
          </w:p>
        </w:tc>
        <w:tc>
          <w:tcPr>
            <w:tcBorders>
              <w:top w:val="single" w:sz="6" w:color="7F7F7F"/>
              <w:left w:val="single" w:sz="6" w:color="7F7F7F"/>
              <w:bottom w:val="single" w:sz="6" w:color="7F7F7F"/>
              <w:right w:val="single" w:sz="6" w:color="7F7F7F"/>
            </w:tcBorders>
            <w:tcMar>
              <w:left w:w="105" w:type="dxa"/>
              <w:right w:w="105" w:type="dxa"/>
            </w:tcMar>
          </w:tcPr>
          <w:p w14:paraId="5927161E">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65DF658">
            <w:pPr>
              <w:spacing w:after="200" w:line="276" w:lineRule="auto"/>
            </w:pPr>
            <w:r>
              <w:rPr>
                <w:rFonts w:ascii="Cambria" w:cs="Cambria"/>
                <w:b/>
                <w:bCs/>
                <w:sz w:val="22"/>
                <w:szCs w:val="22"/>
              </w:rPr>
              <w:t>— GE</w:t>
            </w:r>
          </w:p>
        </w:tc>
        <w:tc>
          <w:tcPr>
            <w:tcBorders>
              <w:top w:val="single" w:sz="6" w:color="7F7F7F"/>
              <w:left w:val="single" w:sz="6" w:color="7F7F7F"/>
              <w:bottom w:val="single" w:sz="6" w:color="7F7F7F"/>
              <w:right w:val="single" w:sz="6" w:color="7F7F7F"/>
            </w:tcBorders>
            <w:tcMar>
              <w:left w:w="105" w:type="dxa"/>
              <w:right w:w="105" w:type="dxa"/>
            </w:tcMar>
          </w:tcPr>
          <w:p w14:paraId="691C9330">
            <w:pPr>
              <w:spacing w:after="200" w:line="276" w:lineRule="auto"/>
            </w:pPr>
            <w:r>
              <w:rPr>
                <w:rFonts w:ascii="Cambria" w:cs="Cambria"/>
                <w:sz w:val="22"/>
                <w:szCs w:val="22"/>
              </w:rPr>
              <w:t>318 (29.2)</w:t>
            </w:r>
          </w:p>
        </w:tc>
        <w:tc>
          <w:tcPr>
            <w:tcBorders>
              <w:top w:val="single" w:sz="6" w:color="7F7F7F"/>
              <w:left w:val="single" w:sz="6" w:color="7F7F7F"/>
              <w:bottom w:val="single" w:sz="6" w:color="7F7F7F"/>
              <w:right w:val="single" w:sz="6" w:color="7F7F7F"/>
            </w:tcBorders>
            <w:tcMar>
              <w:left w:w="105" w:type="dxa"/>
              <w:right w:w="105" w:type="dxa"/>
            </w:tcMar>
          </w:tcPr>
          <w:p w14:paraId="0823E31A">
            <w:pPr>
              <w:spacing w:after="200" w:line="276" w:lineRule="auto"/>
            </w:pPr>
            <w:r>
              <w:rPr>
                <w:rFonts w:ascii="Cambria" w:cs="Cambria"/>
                <w:sz w:val="22"/>
                <w:szCs w:val="22"/>
              </w:rPr>
              <w:t>219 (23.7)</w:t>
            </w:r>
          </w:p>
        </w:tc>
        <w:tc>
          <w:tcPr>
            <w:tcBorders>
              <w:top w:val="single" w:sz="6" w:color="7F7F7F"/>
              <w:left w:val="single" w:sz="6" w:color="7F7F7F"/>
              <w:bottom w:val="single" w:sz="6" w:color="7F7F7F"/>
              <w:right w:val="single" w:sz="6" w:color="7F7F7F"/>
            </w:tcBorders>
            <w:tcMar>
              <w:left w:w="105" w:type="dxa"/>
              <w:right w:w="105" w:type="dxa"/>
            </w:tcMar>
          </w:tcPr>
          <w:p w14:paraId="67E89090">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719C1C9B">
            <w:pPr>
              <w:spacing w:after="200" w:line="276" w:lineRule="auto"/>
            </w:pPr>
            <w:r>
              <w:rPr>
                <w:rFonts w:ascii="Cambria" w:cs="Cambria"/>
                <w:b/>
                <w:bCs/>
                <w:sz w:val="22"/>
                <w:szCs w:val="22"/>
              </w:rPr>
              <w:t>— Philips</w:t>
            </w:r>
          </w:p>
        </w:tc>
        <w:tc>
          <w:tcPr>
            <w:tcBorders>
              <w:top w:val="single" w:sz="6" w:color="7F7F7F"/>
              <w:left w:val="single" w:sz="6" w:color="7F7F7F"/>
              <w:bottom w:val="single" w:sz="6" w:color="7F7F7F"/>
              <w:right w:val="single" w:sz="6" w:color="7F7F7F"/>
            </w:tcBorders>
            <w:tcMar>
              <w:left w:w="105" w:type="dxa"/>
              <w:right w:w="105" w:type="dxa"/>
            </w:tcMar>
          </w:tcPr>
          <w:p w14:paraId="67126942">
            <w:pPr>
              <w:spacing w:after="200" w:line="276" w:lineRule="auto"/>
            </w:pPr>
            <w:r>
              <w:rPr>
                <w:rFonts w:ascii="Cambria" w:cs="Cambria"/>
                <w:sz w:val="22"/>
                <w:szCs w:val="22"/>
              </w:rPr>
              <w:t>202 (18.6)</w:t>
            </w:r>
          </w:p>
        </w:tc>
        <w:tc>
          <w:tcPr>
            <w:tcBorders>
              <w:top w:val="single" w:sz="6" w:color="7F7F7F"/>
              <w:left w:val="single" w:sz="6" w:color="7F7F7F"/>
              <w:bottom w:val="single" w:sz="6" w:color="7F7F7F"/>
              <w:right w:val="single" w:sz="6" w:color="7F7F7F"/>
            </w:tcBorders>
            <w:tcMar>
              <w:left w:w="105" w:type="dxa"/>
              <w:right w:w="105" w:type="dxa"/>
            </w:tcMar>
          </w:tcPr>
          <w:p w14:paraId="4634BBDE">
            <w:pPr>
              <w:spacing w:after="200" w:line="276" w:lineRule="auto"/>
            </w:pPr>
            <w:r>
              <w:rPr>
                <w:rFonts w:ascii="Cambria" w:cs="Cambria"/>
                <w:sz w:val="22"/>
                <w:szCs w:val="22"/>
              </w:rPr>
              <w:t>135 (14.6)</w:t>
            </w:r>
          </w:p>
        </w:tc>
        <w:tc>
          <w:tcPr>
            <w:tcBorders>
              <w:top w:val="single" w:sz="6" w:color="7F7F7F"/>
              <w:left w:val="single" w:sz="6" w:color="7F7F7F"/>
              <w:bottom w:val="single" w:sz="6" w:color="7F7F7F"/>
              <w:right w:val="single" w:sz="6" w:color="7F7F7F"/>
            </w:tcBorders>
            <w:tcMar>
              <w:left w:w="105" w:type="dxa"/>
              <w:right w:w="105" w:type="dxa"/>
            </w:tcMar>
          </w:tcPr>
          <w:p w14:paraId="112200A3">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5B916022">
            <w:pPr>
              <w:spacing w:after="200" w:line="276" w:lineRule="auto"/>
            </w:pPr>
            <w:r>
              <w:rPr>
                <w:rFonts w:ascii="Cambria" w:cs="Cambria"/>
                <w:b/>
                <w:bCs/>
                <w:sz w:val="22"/>
                <w:szCs w:val="22"/>
              </w:rPr>
              <w:t>— Canon</w:t>
            </w:r>
          </w:p>
        </w:tc>
        <w:tc>
          <w:tcPr>
            <w:tcBorders>
              <w:top w:val="single" w:sz="6" w:color="7F7F7F"/>
              <w:left w:val="single" w:sz="6" w:color="7F7F7F"/>
              <w:bottom w:val="single" w:sz="6" w:color="7F7F7F"/>
              <w:right w:val="single" w:sz="6" w:color="7F7F7F"/>
            </w:tcBorders>
            <w:tcMar>
              <w:left w:w="105" w:type="dxa"/>
              <w:right w:w="105" w:type="dxa"/>
            </w:tcMar>
          </w:tcPr>
          <w:p w14:paraId="242F4DEF">
            <w:pPr>
              <w:spacing w:after="200" w:line="276" w:lineRule="auto"/>
            </w:pPr>
            <w:r>
              <w:rPr>
                <w:rFonts w:ascii="Cambria" w:cs="Cambria"/>
                <w:sz w:val="22"/>
                <w:szCs w:val="22"/>
              </w:rPr>
              <w:t>2 (0.2)</w:t>
            </w:r>
          </w:p>
        </w:tc>
        <w:tc>
          <w:tcPr>
            <w:tcBorders>
              <w:top w:val="single" w:sz="6" w:color="7F7F7F"/>
              <w:left w:val="single" w:sz="6" w:color="7F7F7F"/>
              <w:bottom w:val="single" w:sz="6" w:color="7F7F7F"/>
              <w:right w:val="single" w:sz="6" w:color="7F7F7F"/>
            </w:tcBorders>
            <w:tcMar>
              <w:left w:w="105" w:type="dxa"/>
              <w:right w:w="105" w:type="dxa"/>
            </w:tcMar>
          </w:tcPr>
          <w:p w14:paraId="1D6930E5">
            <w:pPr>
              <w:spacing w:after="200" w:line="276" w:lineRule="auto"/>
            </w:pPr>
            <w:r>
              <w:rPr>
                <w:rFonts w:ascii="Cambria" w:cs="Cambria"/>
                <w:sz w:val="22"/>
                <w:szCs w:val="22"/>
              </w:rPr>
              <w:t>3 (0.3)</w:t>
            </w:r>
          </w:p>
        </w:tc>
        <w:tc>
          <w:tcPr>
            <w:tcBorders>
              <w:top w:val="single" w:sz="6" w:color="7F7F7F"/>
              <w:left w:val="single" w:sz="6" w:color="7F7F7F"/>
              <w:bottom w:val="single" w:sz="6" w:color="7F7F7F"/>
              <w:right w:val="single" w:sz="6" w:color="7F7F7F"/>
            </w:tcBorders>
            <w:tcMar>
              <w:left w:w="105" w:type="dxa"/>
              <w:right w:w="105" w:type="dxa"/>
            </w:tcMar>
          </w:tcPr>
          <w:p w14:paraId="6D4C17E6">
            <w:pPr>
              <w:spacing w:after="200" w:line="276" w:lineRule="auto"/>
            </w:pPr>
          </w:p>
        </w:tc>
      </w:tr>
    </w:tbl>
    <w:p w14:paraId="4E87CA06">
      <w:r>
        <w:t xml:space="preserve">  </w:t>
      </w:r>
    </w:p>
    <w:p w14:paraId="41CA513E">
      <w:r>
        <w:rPr>
          <w:rFonts w:ascii="Calibri" w:cs="Calibri"/>
          <w:b/>
          <w:bCs/>
          <w:sz w:val="28"/>
          <w:szCs w:val="28"/>
        </w:rPr>
        <w:t>CT Acquisition</w:t>
      </w:r>
    </w:p>
    <w:p w14:paraId="4B6A4067">
      <w:r>
        <w:t xml:space="preserve">  </w:t>
      </w:r>
    </w:p>
    <w:p w14:paraId="55073E48">
      <w:pPr>
        <w:spacing w:after="200" w:line="276" w:lineRule="auto"/>
      </w:pPr>
      <w:r>
        <w:rPr>
          <w:rFonts w:ascii="Cambria" w:cs="Cambria"/>
          <w:sz w:val="22"/>
          <w:szCs w:val="22"/>
        </w:rPr>
        <w:t>모든 복부 CT 검사는 관전압(kVp) 100으로 고정하여, 촬영 전 구간에 걸쳐 관전류를 고정하는 대신 목표 영상 노이즈 수준을 유지하도록 실시간으로 관전류를 조절하는 자동노출제어(automatic exposure control, AEC)를 사용하여 촬영되었다. 검사는 두 기관에 걸쳐 상업적으로 이용 가능한 여러 다중검출 CT 스캐너에서 시행되었으며, Siemens(Sensation 64; SOMATOM Definition, Definition AS+, Definition Edge, Definition Flash, Force, Drive, go.Top), GE(Revolution CT, Revolution EVO, Revolution Frontier, LightSpeed VCT, Discovery CT750 HD, Optima CT660), Philips(Ingenuity Core 128, iCT 256), Canon(Aquilion, Aquilion ONE) 기종을 포함한다(Table 1)..</w:t>
      </w:r>
    </w:p>
    <w:p w14:paraId="5EF767C8">
      <w:pPr>
        <w:pStyle w:val="1"/>
        <w:spacing w:before="480" w:line="276" w:lineRule="auto"/>
      </w:pPr>
      <w:r>
        <w:rPr>
          <w:rFonts w:ascii="Calibri" w:cs="Calibri"/>
          <w:b/>
          <w:bCs/>
          <w:sz w:val="28"/>
          <w:szCs w:val="28"/>
        </w:rPr>
        <w:t>AEC Curve Extraction and Prespecified AEC Score</w:t>
      </w:r>
    </w:p>
    <w:p w14:paraId="19CD6DC8">
      <w:r>
        <w:t xml:space="preserve">  </w:t>
      </w:r>
    </w:p>
    <w:p w14:paraId="27977671">
      <w:pPr>
        <w:spacing w:after="200" w:line="276" w:lineRule="auto"/>
      </w:pPr>
      <w:r>
        <w:rPr>
          <w:rFonts w:ascii="Cambria" w:cs="Cambria"/>
          <w:sz w:val="22"/>
          <w:szCs w:val="22"/>
        </w:rPr>
        <w:t>AEC-128 곡선.—AEC는 복부 CT 촬영 시 두미측(craniocaudal) z축을 따라 관전류(mA)를 조절하여 슬라이스별 영상 노이즈를 대략 일정하게 유지한다. 필요 전류량은 각 위치에서 환자가 빔을 얼마나 감쇠시키는지에 따라 달라지므로, 관전류 변조 곡선에는 슬라이스별 환자 단면 감쇠 정보, 나아가 체형(body habitus) 정보가 담겨 있다. 본 연구에서는 이 곡선을 환자당 고정 길이 128개 지점으로 표현하여 AEC-128이라 명명하고, 본 연구에서 평가하는 영상 기반 예측변수의 원천으로 사용하였다. 구성 과정은 다음과 같다: 슬라이스 수, DICOM Image Type, Series Description, 영상 방향을 기준으로 관상면/시상면 재구성 영상, 스카우트 영상, 선량보고서를 제외한 축상면 원본 시리즈를 식별하고, 오픈소스 딥러닝 분할 도구인 TotalSegmentator[4]로 간과 양측 골반뼈를 위치화하여 간의 최두측(cranial) 슬라이스와 골반뼈의 최미측(caudal) 슬라이스를 분석 구간의 상·하한으로 정의하였다(분할은 랜드마크 위치화에만 사용되었고, 관전류 값 자체는 DICOM 헤더 필드인 X-Ray Tube Current에서 직접 획득). 이 구간 내 관전류 값을 두미측 순서로 추출한 후, 환자마다 슬라이스 수가 달랐기 때문에 선형보간(linear interpolation)으로 고정된 128개 지점에 리샘플링하여, 이후 모델링의 분석 단위로 사용되는 AEC-128 곡선을 얻었다.</w:t>
      </w:r>
    </w:p>
    <w:p w14:paraId="3D8212AE">
      <w:pPr>
        <w:spacing w:after="200" w:line="276" w:lineRule="auto"/>
      </w:pPr>
      <w:r>
        <w:rPr>
          <w:rFonts w:ascii="Cambria" w:cs="Cambria"/>
          <w:sz w:val="22"/>
          <w:szCs w:val="22"/>
        </w:rPr>
        <w:t>평균 mAs 기준선(baseline).—이 곡선에 대한 가장 단순한 요약값으로서, 시계열 특징 추출의 표준적 관행[5]에 따라 각 환자에 대해 AEC-128 128개 지점의 산술평균—골반-간 구간에서의 평균 관전류, 이하 평균 mAs—을 추가로 계산하였다. 다만 기저의 DICOM 필드는 시간 적분된 관전류-시간 곱(mAs)이 아니라 순간 관전류(mA)를 기록하므로, 엄밀히 말하면 평균 mAs는 참된 mAs 값이 아니라 평균 관전류이다; 그럼에도 아래(연구 평가지표) 기술한 모델 비교 체계와의 일관성을 위해 평균 mAs라는 명칭을 유지하였으며, 이 값은 AEC-128 전체 곡선이 추가로 제공하는 가치를 판단하는 단일 수치 노출량 기준선(baseline)으로 사용된다.</w:t>
      </w:r>
    </w:p>
    <w:p w14:paraId="1B799EEA">
      <w:pPr>
        <w:spacing w:after="200" w:line="276" w:lineRule="auto"/>
      </w:pPr>
      <w:r>
        <w:rPr>
          <w:rFonts w:ascii="Cambria" w:cs="Cambria"/>
          <w:sz w:val="22"/>
          <w:szCs w:val="22"/>
        </w:rPr>
        <w:t>사전 지정 FPCA AEC 점수.—AEC-128 곡선은 환자당 128차원 변수이지만 인접한 지점들 사이에 강한 자기상관(autocorrelation)이 존재하여, 독립적인 측정값들의 집합이라기보다는 함수형 데이터(functional data) 객체에 가깝다; 128개 지점 전체를 독립변수로 투입하면 상당한 다중공선성 및 과적합 위험이 발생한다. 따라서 본 연구에서는 함수형 주성분분석(functional principal component analysis, FPCA)[6]을 이용하여 단일한 고정 차원의 AEC 점수를 사전 지정하였으며, 이는 내부 코호트에서 한 번 추정한 후 재적합 없이 외부 코호트에 적용함으로써, 질환마다 여러 후보 표현 중에서 다시 선택하는 대신 AEC 항이 포함된 모든 질환·모든 모델에 동일한 점수 정의가 사용되도록 하였다(통계 분석 항목 참조). 먼저 z = 1, …, 128에 대해 내부 코호트의 모든 곡선에 걸쳐 평균 곡선 μ(z)를 계산하고, 각 환자의 편차 곡선을 원곡선에서 이 평균을 뺀 값, dᵢ(z) = xᵢ(z) − μ(z)로 얻었다. 편차 곡선들의 128×128 공분산 행렬을 특이값분해(singular value decomposition)[7]를 통해 고유분해(eigen-decomposition)하였으며, 수치적 안정성을 위해 scikit-learn의 PCA 구현을 사용하여, 설명분산 비율 순으로 정렬된 직교(orthonormal) 고유함수 φₖ와 그에 대응하는 고유값 λₖ를 얻었다; 각 환자의 편차 곡선을 각 보존 고유함수에 투영하여 성분 점수 scoreᵢ,ₖ = Σᵣ dᵢ(z)·φₖ(z)를 산출하였으며, 이것이 아래 로지스틱 회귀모형에서 AEC 항으로 사용되는 FPCA 점수이다. 보존할 성분 개수는 어떠한 결과(outcome) 모델링에 앞서, 내부 코호트 곡선의 설명분산 스크리 플롯(scree plot)에 Kneedle 엘보 알고리즘[8]을 적용하여 고정하였다: 성분 인덱스와 설명분산 비율을 각각 0–1 척도로 정규화한 후, 첫 성분과 마지막 성분을 잇는 직선으로부터 수직거리가 최대가 되는 지점을 엘보(elbow)로 정의하였다. 본 코호트에서는 PC1 하나만으로 전체 분산의 84.3%를, PC1–2가 누적 94.8%를, PC1–3이 누적 97.4%를 설명하였고, 엘보는 PC3와 일치하였다; 따라서 첫 세 성분 점수인 PC1–PC3을 사전 지정 AEC 점수로 고정하였으며(Figure 2), 아래 기술된 모든 질환·모든 모델군에서 이를 수정 없이 유일한 AEC 항으로 사용하였다—여러 후보 AEC 표현을 결과에 따라 탐색적으로 선택하는 방식과 달리, 이 단일 고정 점수는 어떠한 질환 결과와도 무관하게 정의되었다.</w:t>
      </w:r>
    </w:p>
    <w:p w14:paraId="1499684D">
      <w:pPr>
        <w:spacing w:after="200" w:line="276" w:lineRule="auto"/>
      </w:pPr>
      <w:r>
        <w:t xml:space="preserve">  </w:t>
      </w:r>
      <w:r>
        <w:drawing>
          <wp:inline distT="0" distB="0" distL="0" distR="0">
            <wp:extent cx="5943600" cy="38004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3"/>
                    <a:stretch>
                      <a:fillRect/>
                    </a:stretch>
                  </pic:blipFill>
                  <pic:spPr>
                    <a:xfrm>
                      <a:off x="0" y="0"/>
                      <a:ext cx="5943600" cy="3800475"/>
                    </a:xfrm>
                    <a:prstGeom prst="rect">
                      <a:avLst/>
                    </a:prstGeom>
                  </pic:spPr>
                </pic:pic>
              </a:graphicData>
            </a:graphic>
          </wp:inline>
        </w:drawing>
      </w:r>
      <w:r>
        <w:t xml:space="preserve">  </w:t>
      </w:r>
      <w:r>
        <w:rPr>
          <w:rFonts w:ascii="Cambria" w:cs="Cambria"/>
          <w:sz w:val="22"/>
          <w:szCs w:val="22"/>
        </w:rPr>
        <w:t>Figure 2. 내부 코호트 AEC-128 곡선에 대한 FPCA 계산 과정. (A) 회색으로 표시된 무작위 표본 환자 곡선들과 검은색으로 표시된 결과 평균 곡선 μ(z). (B) 대표 환자 1명에 대한 편차 곡선 dᵢ(z) = xᵢ(z) − μ(z)을 φ₁에 투영하여 성분 점수를 얻는 과정. (C) 엘보 기반 성분 선택에 사용된 고유값 스크리 플롯(k = 3). (D, E) SVD로 고유분해된 128×128 공분산 행렬과 (F) 그 결과 얻어진 고유함수 φ₁–φ₃.</w:t>
      </w:r>
    </w:p>
    <w:p w14:paraId="2351A6BE">
      <w:pPr>
        <w:spacing w:after="200" w:line="276" w:lineRule="auto"/>
      </w:pPr>
      <w:r>
        <w:rPr>
          <w:rFonts w:ascii="Cambria" w:cs="Cambria"/>
          <w:sz w:val="22"/>
          <w:szCs w:val="22"/>
        </w:rPr>
        <w:t>외부 코호트 곡선은 내부 코호트만으로 추정된 이 동일한 고정 성분들에 재적합 없이 투영되어, 두 코호트가 동일한 기준(common basis) 위에서 비교되도록 하였다. 이는 평균 mAs와 같은 단일 스칼라 요약값만으로는 포착할 수 없는 곡선 형태의 형태학적 변이를 포착하며, CT 기반 곡선을 임상 결과 예측에 적용한 선행 연구[9]와 일관되게 예측모형의 입력변수로 사용된다.</w:t>
      </w:r>
    </w:p>
    <w:p w14:paraId="69CEEE2E">
      <w:pPr>
        <w:spacing w:after="200" w:line="276" w:lineRule="auto"/>
      </w:pPr>
      <w:r>
        <w:rPr>
          <w:rFonts w:ascii="Calibri" w:cs="Calibri"/>
          <w:b/>
          <w:bCs/>
          <w:sz w:val="28"/>
          <w:szCs w:val="28"/>
        </w:rPr>
        <w:t>Automated Body Composition Analysis</w:t>
      </w:r>
      <w:r>
        <w:t xml:space="preserve">  </w:t>
      </w:r>
    </w:p>
    <w:p w14:paraId="29AA8855">
      <w:pPr>
        <w:spacing w:after="200" w:line="276" w:lineRule="auto"/>
      </w:pPr>
      <w:r>
        <w:rPr>
          <w:rFonts w:ascii="Cambria" w:cs="Cambria"/>
          <w:sz w:val="22"/>
          <w:szCs w:val="22"/>
        </w:rPr>
        <w:t>내장지방 및 피하지방.—위의 AEC 기반 예측변수에 더하여, CT 기반 내장지방 및 피하지방이 심대사질환(cardiometabolic disease)의 확립된 예측인자라는 점[10]에 근거하여, AEC 곡선의 추가적 가치를 검증할 두 번째 독립적 기준선으로서 확립된 조직 특이적 opportunistic CT 체성분 바이오마커를 평가하였다. 내장지방 및 피하지방은 AEC-128 랜드마크 위치화에 사용된 것과 동일한 TotalSegmentator 기반 자동화 파이프라인[4]을 이용하여, AEC-128 곡선 구성에 사용된 것과 동일한 골반-간 두미측 구간 내 축상면 슬라이스에 대해 분할하였다; 이 구간 내 각 슬라이스의 지방조직 단면적을 합산하여 환자당 내장지방 값(VAT) 1개와 피하지방 값(SAT) 1개를 산출한 후, VAT를 SAT로 나눈 VAT/SAT 비율을 계산하였다. [이 조직 분할에 사용된 정확한 TotalSegmentator task/버전 및 보고된 면적의 단위는 투고 전 원본 분할 파이프라인 로그와 대조하여 확인해야 하며, 이 설명은 독립적으로 재검증된 분할 로그가 아니라 원본 데이터셋에 이미 존재하는 사전계산된 VAT/SAT 필드(VAT(내장지방)_SUM, SAT(피하지방)_SUM)의 구조를 반영한 것이다.] VAT와 SAT를 두 개의 별도 공변량으로 투입하는 대신, VAT/SAT 비율을 아래 기술된 모델에 단일 체성분 공변량으로 투입하였다(통계 분석 항목 참조).</w:t>
      </w:r>
    </w:p>
    <w:p w14:paraId="59FB31F4">
      <w:pPr>
        <w:spacing w:after="200" w:line="276" w:lineRule="auto"/>
      </w:pPr>
      <w:r>
        <w:rPr>
          <w:rFonts w:ascii="Calibri" w:cs="Calibri"/>
          <w:b/>
          <w:bCs/>
          <w:sz w:val="28"/>
          <w:szCs w:val="28"/>
        </w:rPr>
        <w:t>Clinical Variables and Outcome Definitions</w:t>
      </w:r>
      <w:r>
        <w:t xml:space="preserve">  </w:t>
      </w:r>
    </w:p>
    <w:p w14:paraId="07F939A8">
      <w:pPr>
        <w:spacing w:after="200" w:line="276" w:lineRule="auto"/>
      </w:pPr>
      <w:r>
        <w:rPr>
          <w:rFonts w:ascii="Cambria" w:cs="Cambria"/>
          <w:sz w:val="22"/>
          <w:szCs w:val="22"/>
        </w:rPr>
        <w:t>임상 예측변수 및 결과.—연령, 성별, 신장, 체중은 환자 매칭에 사용된 동일한 임상 데이터베이스에서 추출하였으며, 아래 기술된 모든 모델에서 clinic4로 통칭되는 기본 임상 예측변수로 사용되었다. 결과(outcome)는 임상 데이터베이스상 고혈압, 당뇨병, 만성신장질환—각각 HTN, DM, CKD—진단 기록의 유무로 정의하였다.</w:t>
      </w:r>
    </w:p>
    <w:p w14:paraId="48190D2A">
      <w:pPr>
        <w:spacing w:after="200" w:line="276" w:lineRule="auto"/>
      </w:pPr>
      <w:r>
        <w:rPr>
          <w:rFonts w:ascii="Cambria" w:cs="Cambria"/>
          <w:sz w:val="22"/>
          <w:szCs w:val="22"/>
        </w:rPr>
        <w:t>본 코호트에서 고혈압은 내부 환자 1,088명 중 329명(30.2%), 외부 환자 925명 중 425명(45.9%)에서 확인되었다; 당뇨병은 내부 환자 204명(18.8%), 외부 환자 285명(30.8%)에서, 만성신장질환은 내부 환자 83명(7.6%), 외부 환자 168명(18.2%)에서 확인되었다.</w:t>
      </w:r>
    </w:p>
    <w:p w14:paraId="4585A18B">
      <w:pPr>
        <w:spacing w:after="200" w:line="276" w:lineRule="auto"/>
      </w:pPr>
      <w:r>
        <w:rPr>
          <w:rFonts w:ascii="Calibri" w:cs="Calibri"/>
          <w:b/>
          <w:bCs/>
          <w:sz w:val="28"/>
          <w:szCs w:val="28"/>
        </w:rPr>
        <w:t>Study Endpoints</w:t>
      </w:r>
      <w:r>
        <w:t xml:space="preserve"> </w:t>
      </w:r>
    </w:p>
    <w:p w14:paraId="1C7F0F18">
      <w:pPr>
        <w:spacing w:after="200" w:line="276" w:lineRule="auto"/>
      </w:pPr>
      <w:r>
        <w:rPr>
          <w:rFonts w:ascii="Cambria" w:cs="Cambria"/>
          <w:sz w:val="22"/>
          <w:szCs w:val="22"/>
        </w:rPr>
        <w:t>일차 평가지표는 수신자 조작 특성 곡선 하 면적(AUC)으로 정량화한 판별 성능이었으며, HTN, DM, CKD 세 가지 유병 질환(prevalent-disease) 결과 각각에 대해 별도로 평가하였다—교차검증에 따른 내부 out-of-fold AUC와, 단 1회 동결(frozen)된 외부 AUC로 평가하였다(통계 분석 항목 참조). 두 가지 서로 다른 non-AEC 기준선에 대한 AEC 곡선의 추가적 가치를 다루기 위해 두 개의 사전 지정 모델군을 설정하였다: 모델군 A는 clinic4, clinic4 + 평균 mAs, clinic4 + 평균 mAs + AEC를 비교하여, 먼저 단일 수치 노출량 요약값(평균 mAs)이 clinic4 단독보다 개선을 보이는지, 이어서 전체 사전 지정 AEC 점수가 그 요약값을 넘어 추가적인 판별력을 더하는지를 검정하였다; 모델군 B는 clinic4 + VAT/SAT 비율과 clinic4 + VAT/SAT 비율 + AEC를 비교하여, AEC 점수가 확립된 opportunistic 체성분 기준선을 넘어 판별력을 추가하는지를 검정하였다. 이에 따라 주요 관심 비교는 다음 네 가지 짝지은(paired) AUC 차이였다—clinic4 + 평균 mAs vs. clinic4; clinic4 + 평균 mAs + AEC vs. clinic4 + 평균 mAs; clinic4 + VAT/SAT 비율 vs. clinic4; clinic4 + VAT/SAT 비율 + AEC vs. clinic4 + VAT/SAT 비율—이며, 각각 paired DeLong 검정으로 평가하였다(통계 분석 항목 참조). 이차 평가지표는 내부 out-of-fold 예측값으로 고정한 단일 분류 임계값에서의 민감도, 특이도, 정확도, 그리고 CT 스캐너 제조사 하위군 간 AEC 관련 AUC 차이의 일관성이었다.</w:t>
      </w:r>
    </w:p>
    <w:p w14:paraId="2C092657">
      <w:pPr>
        <w:pStyle w:val="1"/>
        <w:spacing w:before="480" w:line="276" w:lineRule="auto"/>
      </w:pPr>
      <w:r>
        <w:rPr>
          <w:rFonts w:ascii="Calibri" w:cs="Calibri"/>
          <w:b/>
          <w:bCs/>
          <w:sz w:val="28"/>
          <w:szCs w:val="28"/>
        </w:rPr>
        <w:t>Statistical Analysis</w:t>
      </w:r>
    </w:p>
    <w:p w14:paraId="23E07D9D">
      <w:pPr>
        <w:spacing w:after="200" w:line="276" w:lineRule="auto"/>
      </w:pPr>
    </w:p>
    <w:p w14:paraId="539A8E2B">
      <w:pPr>
        <w:spacing w:after="200" w:line="276" w:lineRule="auto"/>
      </w:pPr>
      <w:r>
        <w:rPr>
          <w:rFonts w:ascii="Cambria" w:cs="Cambria"/>
          <w:sz w:val="22"/>
          <w:szCs w:val="22"/>
        </w:rPr>
        <w:t>각 질환 결과에 대해 clinic4; clinic4 + 평균 mAs; clinic4 + 평균 mAs + AEC; clinic4 + VAT/SAT 비율; clinic4 + VAT/SAT 비율 + AEC의 다섯 개 로지스틱 회귀모형을 적합하였으며, 이는 위(연구 평가지표)에서 정의한 두 모델군에 대응한다. 기준 모델인 clinic4는 위에서 소개한 네 가지 임상 예측변수—연령, 성별, 신장, 체중—를 사용하였는데, 이들은 영상 촬영 시점에 통상적으로 확보 가능한 임상변수이므로 영상 기반 기여도를 판단할 현실적인 기준을 제공하기 때문이다. 이진변수인 성별은 스케일링 없이 0/1 지시변수로 그대로 투입하였다; 연속형이면서 서로 다른 물리적 척도를 가지는 연령, 신장, 체중, 그리고 포함되는 경우 평균 mAs 및 VAT/SAT 비율은 내부 코호트로 적합한 스케일러(scaler)를 이용해 평균 0, 분산 1로 표준화한 후 재적합 없이 외부 코호트에 그대로 적용하여, 어느 한 변수가 척도 차이만으로 회귀식을 지배하지 않도록 하였다. 사전 지정 AEC 점수(FPCA PC1–3)는 별도로 표준화하였으며, 자체 스케일러를 내부 코호트에 적합한 후 외부 코호트에 동결(frozen)하여 적용함으로써, 임상 및 체성분 예측변수와 물리적 척도가 다른 AEC 점수가 L2 정규화 로지스틱 회귀에서 다른 항들을 지배하거나 반대로 지배당하지 않도록 하였다; 내부 교차검증 동안에는 이 AEC 스케일러와 FPCA 변환 자체를 각 학습 폴드(training fold)마다 다시 적합한 후 held-out 폴드에만 적용하여, 검증곡선 정보가 두 단계 중 어느 쪽으로도 유출되지 않도록 하였다. 모든 모델은 내부 성능에 대해 안정적인 out-of-fold 추정치를 제공하는[11] 5-fold 층화 교차검증에 따른 내부 AUC로 평가하였으며—소수 클래스 환자 수가 5명 미만인 결과변수에 대해서는 폴드 수를 최소 2까지 줄였다—아울러 선행 곡선 기반 질환예측 연구[12]에서 사용된 clinic-모델 대 clinic+영상-모델의 2-코호트 설계를 따르고 위에서 인용한 내부/외부 검증 원칙[1-3]과 일관되게, 외부 동결 AUC로도 평가하였다.</w:t>
      </w:r>
    </w:p>
    <w:p w14:paraId="482AD644">
      <w:pPr>
        <w:spacing w:after="200" w:line="276" w:lineRule="auto"/>
      </w:pPr>
      <w:r>
        <w:rPr>
          <w:rFonts w:ascii="Cambria" w:cs="Cambria"/>
          <w:sz w:val="22"/>
          <w:szCs w:val="22"/>
        </w:rPr>
        <w:t>각 질환에 대해, 사전 지정한 네 가지 짝지은 AUC 차이(연구 평가지표 항목 참조)를 paired DeLong 검정[13]으로 검정하였으며, 이는 각 코호트 내에서 다섯 개 모델 모두가 동일한 환자에 대해 평가되었기 때문에 적절한 방법이다. 각 모델의 내부 out-of-fold 예측값에서 Youden's J 통계량[14]을 최대화하는 지점으로 분류 임계값을 선정하고, 이를 고정하여 두 코호트에서 민감도, 특이도, 정확도를 계산하였다. AEC 관련 AUC 차이가 CT 제조사 간에 일관되는지 평가하기 위해, 스캐너 기종·제조사에 대한 제한이 없어진(연구 설계 및 대상자 항목 참조) 조건에서, 두 결과 클래스가 모두 30명 이상 포함된 각 스캐너 하위군 내에서 동일한 고정 임계값을 사용하여 AUC를 추가로 재계산하였다. 전체 분석에서 양측 p값이 0.05 미만인 경우를 통계적으로 유의한 것으로 간주하였으며, 모든 분석은 Python 3.13, scikit-learn 1.7, pandas 2.3, NumPy 2.3, SciPy 1.16을 이용하여 수행하였다.</w:t>
      </w:r>
    </w:p>
    <w:p w14:paraId="64C94619">
      <w:r>
        <w:t xml:space="preserve">  </w:t>
      </w:r>
    </w:p>
    <w:p w14:paraId="70A92BFD">
      <w:r>
        <w:rPr>
          <w:rFonts w:ascii="맑은 고딕" w:hAnsi="맑은 고딕" w:eastAsia="맑은 고딕" w:cs="맑은 고딕" w:csTheme="majorBidi"/>
          <w:b/>
          <w:bCs/>
          <w:color w:val="365F91" w:themeColor="accent1" w:themeShade="BF"/>
          <w:sz w:val="28"/>
          <w:szCs w:val="28"/>
        </w:rPr>
        <w:t>References</w:t>
      </w:r>
    </w:p>
    <w:p w14:paraId="3E1D3434"/>
    <w:p w14:paraId="30BC9A62" w14:textId="77777777">
      <w:pPr>
        <w:spacing w:after="200" w:line="276" w:lineRule="auto"/>
      </w:pPr>
      <w:r>
        <w:rPr>
          <w:rFonts w:ascii="맑은 고딕" w:hAnsi="맑은 고딕" w:eastAsia="맑은 고딕" w:cs="맑은 고딕" w:csTheme="minorBidi"/>
          <w:sz w:val="21"/>
          <w:szCs w:val="22"/>
        </w:rPr>
        <w:t xml:space="preserve">1. McCollough CH, Bruesewitz MR, Kofler JM Jr. Techniques and applications of automatic tube current modulation for CT. </w:t>
      </w:r>
      <w:r>
        <w:rPr>
          <w:rFonts w:ascii="맑은 고딕" w:hAnsi="맑은 고딕" w:eastAsia="맑은 고딕" w:cs="맑은 고딕" w:csTheme="minorBidi"/>
          <w:i/>
          <w:iCs/>
          <w:sz w:val="21"/>
          <w:szCs w:val="22"/>
        </w:rPr>
        <w:t>Radiology</w:t>
      </w:r>
      <w:r>
        <w:rPr>
          <w:rFonts w:ascii="맑은 고딕" w:hAnsi="맑은 고딕" w:eastAsia="맑은 고딕" w:cs="맑은 고딕" w:csTheme="minorBidi"/>
          <w:sz w:val="21"/>
          <w:szCs w:val="22"/>
        </w:rPr>
        <w:t>. 2006;240(3):611-622. doi:10.1148/radiol.2333031150</w:t>
      </w:r>
    </w:p>
    <w:p w14:paraId="4E7B8182" w14:textId="77777777">
      <w:pPr>
        <w:spacing w:after="200" w:line="276" w:lineRule="auto"/>
      </w:pPr>
      <w:r>
        <w:rPr>
          <w:rFonts w:ascii="맑은 고딕" w:hAnsi="맑은 고딕" w:eastAsia="맑은 고딕" w:cs="맑은 고딕" w:csTheme="minorBidi"/>
          <w:sz w:val="21"/>
          <w:szCs w:val="22"/>
        </w:rPr>
        <w:t xml:space="preserve">2. Kalra MK, Maher MM, Toth TL, et al. Comparison of Z-axis automatic tube current modulation technique with fixed tube current CT scanning of abdomen and pelvis. </w:t>
      </w:r>
      <w:r>
        <w:rPr>
          <w:rFonts w:ascii="맑은 고딕" w:hAnsi="맑은 고딕" w:eastAsia="맑은 고딕" w:cs="맑은 고딕" w:csTheme="minorBidi"/>
          <w:i/>
          <w:iCs/>
          <w:sz w:val="21"/>
          <w:szCs w:val="22"/>
        </w:rPr>
        <w:t>Radiology</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2004;232:347</w:t>
      </w:r>
      <w:r>
        <w:rPr>
          <w:rFonts w:ascii="맑은 고딕" w:hAnsi="맑은 고딕" w:eastAsia="맑은 고딕" w:cs="맑은 고딕" w:csTheme="minorBidi"/>
          <w:sz w:val="21"/>
          <w:szCs w:val="22"/>
        </w:rPr>
        <w:t>-353. doi:10.1148/radiol.2322031304</w:t>
      </w:r>
    </w:p>
    <w:p w14:paraId="7324453F" w14:textId="77777777">
      <w:pPr>
        <w:spacing w:after="200" w:line="276" w:lineRule="auto"/>
      </w:pPr>
      <w:r>
        <w:rPr>
          <w:rFonts w:ascii="맑은 고딕" w:hAnsi="맑은 고딕" w:eastAsia="맑은 고딕" w:cs="맑은 고딕" w:csTheme="minorBidi"/>
          <w:sz w:val="21"/>
          <w:szCs w:val="22"/>
        </w:rPr>
        <w:t xml:space="preserve">3. McCollough CH, Bruesewitz MR, Kofler JM Jr. CT dose reduction and dose management tools: overview of available options. </w:t>
      </w:r>
      <w:r>
        <w:rPr>
          <w:rFonts w:ascii="맑은 고딕" w:hAnsi="맑은 고딕" w:eastAsia="맑은 고딕" w:cs="맑은 고딕" w:csTheme="minorBidi"/>
          <w:i/>
          <w:iCs/>
          <w:sz w:val="21"/>
          <w:szCs w:val="22"/>
        </w:rPr>
        <w:t>RadioGraphics</w:t>
      </w:r>
      <w:r>
        <w:rPr>
          <w:rFonts w:ascii="맑은 고딕" w:hAnsi="맑은 고딕" w:eastAsia="맑은 고딕" w:cs="맑은 고딕" w:csTheme="minorBidi"/>
          <w:sz w:val="21"/>
          <w:szCs w:val="22"/>
        </w:rPr>
        <w:t>. 2006;26(2):503-512. doi:10.1148/rg.262055138</w:t>
      </w:r>
    </w:p>
    <w:p w14:paraId="518166BD" w14:textId="77777777">
      <w:pPr>
        <w:spacing w:after="200" w:line="276" w:lineRule="auto"/>
      </w:pPr>
      <w:r>
        <w:rPr>
          <w:rFonts w:ascii="맑은 고딕" w:hAnsi="맑은 고딕" w:eastAsia="맑은 고딕" w:cs="맑은 고딕" w:csTheme="minorBidi"/>
          <w:sz w:val="21"/>
          <w:szCs w:val="22"/>
        </w:rPr>
        <w:t xml:space="preserve">4. </w:t>
      </w:r>
      <w:r>
        <w:rPr>
          <w:rFonts w:ascii="맑은 고딕" w:hAnsi="맑은 고딕" w:eastAsia="맑은 고딕" w:cs="맑은 고딕" w:csTheme="minorBidi"/>
          <w:sz w:val="21"/>
          <w:szCs w:val="22"/>
        </w:rPr>
        <w:t>Steyerberg</w:t>
      </w:r>
      <w:r>
        <w:rPr>
          <w:rFonts w:ascii="맑은 고딕" w:hAnsi="맑은 고딕" w:eastAsia="맑은 고딕" w:cs="맑은 고딕" w:csTheme="minorBidi"/>
          <w:sz w:val="21"/>
          <w:szCs w:val="22"/>
        </w:rPr>
        <w:t xml:space="preserve"> EW. </w:t>
      </w:r>
      <w:r>
        <w:rPr>
          <w:rFonts w:ascii="맑은 고딕" w:hAnsi="맑은 고딕" w:eastAsia="맑은 고딕" w:cs="맑은 고딕" w:csTheme="minorBidi"/>
          <w:i/>
          <w:iCs/>
          <w:sz w:val="21"/>
          <w:szCs w:val="22"/>
        </w:rPr>
        <w:t>Clinical Prediction Models: A Practical Approach to Development, Validation, and Updating.</w:t>
      </w:r>
      <w:r>
        <w:rPr>
          <w:rFonts w:ascii="맑은 고딕" w:hAnsi="맑은 고딕" w:eastAsia="맑은 고딕" w:cs="맑은 고딕" w:csTheme="minorBidi"/>
          <w:sz w:val="21"/>
          <w:szCs w:val="22"/>
        </w:rPr>
        <w:t xml:space="preserve"> 2nd ed. Springer; 2019.</w:t>
      </w:r>
    </w:p>
    <w:p w14:paraId="6C4F4D61" w14:textId="77777777">
      <w:pPr>
        <w:spacing w:after="200" w:line="276" w:lineRule="auto"/>
      </w:pPr>
      <w:r>
        <w:rPr>
          <w:rFonts w:ascii="맑은 고딕" w:hAnsi="맑은 고딕" w:eastAsia="맑은 고딕" w:cs="맑은 고딕" w:csTheme="minorBidi"/>
          <w:sz w:val="21"/>
          <w:szCs w:val="22"/>
        </w:rPr>
        <w:t xml:space="preserve">5. Moons KGM, Altman DG, Reitsma JB, et al. Transparent reporting of a multivariable prediction model for individual prognosis or diagnosis (TRIPOD): explanation and elaboration. </w:t>
      </w:r>
      <w:r>
        <w:rPr>
          <w:rFonts w:ascii="맑은 고딕" w:hAnsi="맑은 고딕" w:eastAsia="맑은 고딕" w:cs="맑은 고딕" w:csTheme="minorBidi"/>
          <w:i/>
          <w:iCs/>
          <w:sz w:val="21"/>
          <w:szCs w:val="22"/>
        </w:rPr>
        <w:t>Ann Intern Med</w:t>
      </w:r>
      <w:r>
        <w:rPr>
          <w:rFonts w:ascii="맑은 고딕" w:hAnsi="맑은 고딕" w:eastAsia="맑은 고딕" w:cs="맑은 고딕" w:csTheme="minorBidi"/>
          <w:sz w:val="21"/>
          <w:szCs w:val="22"/>
        </w:rPr>
        <w:t>. 2015;162(1</w:t>
      </w:r>
      <w:r>
        <w:rPr>
          <w:rFonts w:ascii="맑은 고딕" w:hAnsi="맑은 고딕" w:eastAsia="맑은 고딕" w:cs="맑은 고딕" w:csTheme="minorBidi"/>
          <w:sz w:val="21"/>
          <w:szCs w:val="22"/>
        </w:rPr>
        <w:t>):W</w:t>
      </w:r>
      <w:r>
        <w:rPr>
          <w:rFonts w:ascii="맑은 고딕" w:hAnsi="맑은 고딕" w:eastAsia="맑은 고딕" w:cs="맑은 고딕" w:csTheme="minorBidi"/>
          <w:sz w:val="21"/>
          <w:szCs w:val="22"/>
        </w:rPr>
        <w:t>1-W73. doi:10.7326/M14-0698</w:t>
      </w:r>
    </w:p>
    <w:p w14:paraId="39587195" w14:textId="77777777">
      <w:pPr>
        <w:spacing w:after="200" w:line="276" w:lineRule="auto"/>
      </w:pPr>
      <w:r>
        <w:rPr>
          <w:rFonts w:ascii="맑은 고딕" w:hAnsi="맑은 고딕" w:eastAsia="맑은 고딕" w:cs="맑은 고딕" w:csTheme="minorBidi"/>
          <w:sz w:val="21"/>
          <w:szCs w:val="22"/>
        </w:rPr>
        <w:t xml:space="preserve">6. </w:t>
      </w:r>
      <w:r>
        <w:rPr>
          <w:rFonts w:ascii="맑은 고딕" w:hAnsi="맑은 고딕" w:eastAsia="맑은 고딕" w:cs="맑은 고딕" w:csTheme="minorBidi"/>
          <w:sz w:val="21"/>
          <w:szCs w:val="22"/>
        </w:rPr>
        <w:t>Ramspek</w:t>
      </w:r>
      <w:r>
        <w:rPr>
          <w:rFonts w:ascii="맑은 고딕" w:hAnsi="맑은 고딕" w:eastAsia="맑은 고딕" w:cs="맑은 고딕" w:csTheme="minorBidi"/>
          <w:sz w:val="21"/>
          <w:szCs w:val="22"/>
        </w:rPr>
        <w:t xml:space="preserve"> CL, Jager KJ, Dekker FW, Zoccali C, van Diepen M. External validation of prognostic models: what, why, how, when and where? </w:t>
      </w:r>
      <w:r>
        <w:rPr>
          <w:rFonts w:ascii="맑은 고딕" w:hAnsi="맑은 고딕" w:eastAsia="맑은 고딕" w:cs="맑은 고딕" w:csTheme="minorBidi"/>
          <w:i/>
          <w:iCs/>
          <w:sz w:val="21"/>
          <w:szCs w:val="22"/>
        </w:rPr>
        <w:t>Clin Kidney J</w:t>
      </w:r>
      <w:r>
        <w:rPr>
          <w:rFonts w:ascii="맑은 고딕" w:hAnsi="맑은 고딕" w:eastAsia="맑은 고딕" w:cs="맑은 고딕" w:csTheme="minorBidi"/>
          <w:sz w:val="21"/>
          <w:szCs w:val="22"/>
        </w:rPr>
        <w:t>. 2021;14(1):49-58. doi:10.1093/</w:t>
      </w:r>
      <w:r>
        <w:rPr>
          <w:rFonts w:ascii="맑은 고딕" w:hAnsi="맑은 고딕" w:eastAsia="맑은 고딕" w:cs="맑은 고딕" w:csTheme="minorBidi"/>
          <w:sz w:val="21"/>
          <w:szCs w:val="22"/>
        </w:rPr>
        <w:t>ckj</w:t>
      </w:r>
      <w:r>
        <w:rPr>
          <w:rFonts w:ascii="맑은 고딕" w:hAnsi="맑은 고딕" w:eastAsia="맑은 고딕" w:cs="맑은 고딕" w:csTheme="minorBidi"/>
          <w:sz w:val="21"/>
          <w:szCs w:val="22"/>
        </w:rPr>
        <w:t>/sfaa188</w:t>
      </w:r>
    </w:p>
    <w:p w14:paraId="110A37F9" w14:textId="77777777">
      <w:pPr>
        <w:spacing w:after="200" w:line="276" w:lineRule="auto"/>
      </w:pPr>
      <w:r>
        <w:lastRenderedPageBreak/>
        <w:rPr>
          <w:rFonts w:ascii="맑은 고딕" w:hAnsi="맑은 고딕" w:eastAsia="맑은 고딕" w:cs="맑은 고딕" w:csTheme="minorBidi"/>
          <w:sz w:val="21"/>
          <w:szCs w:val="22"/>
        </w:rPr>
        <w:t xml:space="preserve">7. </w:t>
      </w:r>
      <w:r>
        <w:rPr>
          <w:rFonts w:ascii="맑은 고딕" w:hAnsi="맑은 고딕" w:eastAsia="맑은 고딕" w:cs="맑은 고딕" w:csTheme="minorBidi"/>
          <w:sz w:val="21"/>
          <w:szCs w:val="22"/>
        </w:rPr>
        <w:t>Wasserthal</w:t>
      </w:r>
      <w:r>
        <w:rPr>
          <w:rFonts w:ascii="맑은 고딕" w:hAnsi="맑은 고딕" w:eastAsia="맑은 고딕" w:cs="맑은 고딕" w:csTheme="minorBidi"/>
          <w:sz w:val="21"/>
          <w:szCs w:val="22"/>
        </w:rPr>
        <w:t xml:space="preserve"> J, Breit HC, Meyer MT, et al. </w:t>
      </w:r>
      <w:r>
        <w:rPr>
          <w:rFonts w:ascii="맑은 고딕" w:hAnsi="맑은 고딕" w:eastAsia="맑은 고딕" w:cs="맑은 고딕" w:csTheme="minorBidi"/>
          <w:sz w:val="21"/>
          <w:szCs w:val="22"/>
        </w:rPr>
        <w:t>TotalSegmentator</w:t>
      </w:r>
      <w:r>
        <w:rPr>
          <w:rFonts w:ascii="맑은 고딕" w:hAnsi="맑은 고딕" w:eastAsia="맑은 고딕" w:cs="맑은 고딕" w:csTheme="minorBidi"/>
          <w:sz w:val="21"/>
          <w:szCs w:val="22"/>
        </w:rPr>
        <w:t xml:space="preserve">: robust segmentation of 104 anatomic structures in CT images. </w:t>
      </w:r>
      <w:r>
        <w:rPr>
          <w:rFonts w:ascii="맑은 고딕" w:hAnsi="맑은 고딕" w:eastAsia="맑은 고딕" w:cs="맑은 고딕" w:csTheme="minorBidi"/>
          <w:i/>
          <w:iCs/>
          <w:sz w:val="21"/>
          <w:szCs w:val="22"/>
        </w:rPr>
        <w:t>Radiol</w:t>
      </w:r>
      <w:r>
        <w:rPr>
          <w:rFonts w:ascii="맑은 고딕" w:hAnsi="맑은 고딕" w:eastAsia="맑은 고딕" w:cs="맑은 고딕" w:csTheme="minorBidi"/>
          <w:i/>
          <w:iCs/>
          <w:sz w:val="21"/>
          <w:szCs w:val="22"/>
        </w:rPr>
        <w:t xml:space="preserve"> </w:t>
      </w:r>
      <w:r>
        <w:rPr>
          <w:rFonts w:ascii="맑은 고딕" w:hAnsi="맑은 고딕" w:eastAsia="맑은 고딕" w:cs="맑은 고딕" w:csTheme="minorBidi"/>
          <w:i/>
          <w:iCs/>
          <w:sz w:val="21"/>
          <w:szCs w:val="22"/>
        </w:rPr>
        <w:t>Artif</w:t>
      </w:r>
      <w:r>
        <w:rPr>
          <w:rFonts w:ascii="맑은 고딕" w:hAnsi="맑은 고딕" w:eastAsia="맑은 고딕" w:cs="맑은 고딕" w:csTheme="minorBidi"/>
          <w:i/>
          <w:iCs/>
          <w:sz w:val="21"/>
          <w:szCs w:val="22"/>
        </w:rPr>
        <w:t xml:space="preserve"> Intell</w:t>
      </w:r>
      <w:r>
        <w:rPr>
          <w:rFonts w:ascii="맑은 고딕" w:hAnsi="맑은 고딕" w:eastAsia="맑은 고딕" w:cs="맑은 고딕" w:csTheme="minorBidi"/>
          <w:sz w:val="21"/>
          <w:szCs w:val="22"/>
        </w:rPr>
        <w:t>. 2023;5(5</w:t>
      </w:r>
      <w:r>
        <w:rPr>
          <w:rFonts w:ascii="맑은 고딕" w:hAnsi="맑은 고딕" w:eastAsia="맑은 고딕" w:cs="맑은 고딕" w:csTheme="minorBidi"/>
          <w:sz w:val="21"/>
          <w:szCs w:val="22"/>
        </w:rPr>
        <w:t>):e</w:t>
      </w:r>
      <w:r>
        <w:rPr>
          <w:rFonts w:ascii="맑은 고딕" w:hAnsi="맑은 고딕" w:eastAsia="맑은 고딕" w:cs="맑은 고딕" w:csTheme="minorBidi"/>
          <w:sz w:val="21"/>
          <w:szCs w:val="22"/>
        </w:rPr>
        <w:t>230024. doi:10.1148/ryai.230024</w:t>
      </w:r>
    </w:p>
    <w:p w14:paraId="501212F0" w14:textId="77777777">
      <w:pPr>
        <w:spacing w:after="200" w:line="276" w:lineRule="auto"/>
      </w:pPr>
      <w:r>
        <w:rPr>
          <w:rFonts w:ascii="맑은 고딕" w:hAnsi="맑은 고딕" w:eastAsia="맑은 고딕" w:cs="맑은 고딕" w:csTheme="minorBidi"/>
          <w:sz w:val="21"/>
          <w:szCs w:val="22"/>
        </w:rPr>
        <w:t xml:space="preserve">8. Barandas M, </w:t>
      </w:r>
      <w:r>
        <w:rPr>
          <w:rFonts w:ascii="맑은 고딕" w:hAnsi="맑은 고딕" w:eastAsia="맑은 고딕" w:cs="맑은 고딕" w:csTheme="minorBidi"/>
          <w:sz w:val="21"/>
          <w:szCs w:val="22"/>
        </w:rPr>
        <w:t>Folgado</w:t>
      </w:r>
      <w:r>
        <w:rPr>
          <w:rFonts w:ascii="맑은 고딕" w:hAnsi="맑은 고딕" w:eastAsia="맑은 고딕" w:cs="맑은 고딕" w:csTheme="minorBidi"/>
          <w:sz w:val="21"/>
          <w:szCs w:val="22"/>
        </w:rPr>
        <w:t xml:space="preserve"> D, Fernandes L, et al. TSFEL: time series feature extraction library. </w:t>
      </w:r>
      <w:r>
        <w:rPr>
          <w:rFonts w:ascii="맑은 고딕" w:hAnsi="맑은 고딕" w:eastAsia="맑은 고딕" w:cs="맑은 고딕" w:csTheme="minorBidi"/>
          <w:i/>
          <w:iCs/>
          <w:sz w:val="21"/>
          <w:szCs w:val="22"/>
        </w:rPr>
        <w:t>SoftwareX</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2020;11:100456</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doi:10.1016/j.softx</w:t>
      </w:r>
      <w:r>
        <w:rPr>
          <w:rFonts w:ascii="맑은 고딕" w:hAnsi="맑은 고딕" w:eastAsia="맑은 고딕" w:cs="맑은 고딕" w:csTheme="minorBidi"/>
          <w:sz w:val="21"/>
          <w:szCs w:val="22"/>
        </w:rPr>
        <w:t>.2020.100456</w:t>
      </w:r>
    </w:p>
    <w:p w14:paraId="606D65F7" w14:textId="77777777">
      <w:pPr>
        <w:spacing w:after="200" w:line="276" w:lineRule="auto"/>
      </w:pPr>
      <w:r>
        <w:rPr>
          <w:rFonts w:ascii="맑은 고딕" w:hAnsi="맑은 고딕" w:eastAsia="맑은 고딕" w:cs="맑은 고딕" w:csTheme="minorBidi"/>
          <w:sz w:val="21"/>
          <w:szCs w:val="22"/>
        </w:rPr>
        <w:t xml:space="preserve">9. Ramsay JO, Silverman BW. </w:t>
      </w:r>
      <w:r>
        <w:rPr>
          <w:rFonts w:ascii="맑은 고딕" w:hAnsi="맑은 고딕" w:eastAsia="맑은 고딕" w:cs="맑은 고딕" w:csTheme="minorBidi"/>
          <w:i/>
          <w:iCs/>
          <w:sz w:val="21"/>
          <w:szCs w:val="22"/>
        </w:rPr>
        <w:t>Functional Data Analysis.</w:t>
      </w:r>
      <w:r>
        <w:rPr>
          <w:rFonts w:ascii="맑은 고딕" w:hAnsi="맑은 고딕" w:eastAsia="맑은 고딕" w:cs="맑은 고딕" w:csTheme="minorBidi"/>
          <w:sz w:val="21"/>
          <w:szCs w:val="22"/>
        </w:rPr>
        <w:t xml:space="preserve"> 2nd ed. Springer; 2005.</w:t>
      </w:r>
    </w:p>
    <w:p w14:paraId="709FA3DA" w14:textId="77777777">
      <w:pPr>
        <w:spacing w:after="200" w:line="276" w:lineRule="auto"/>
      </w:pPr>
      <w:r>
        <w:rPr>
          <w:rFonts w:ascii="맑은 고딕" w:hAnsi="맑은 고딕" w:eastAsia="맑은 고딕" w:cs="맑은 고딕" w:csTheme="minorBidi"/>
          <w:sz w:val="21"/>
          <w:szCs w:val="22"/>
        </w:rPr>
        <w:t>10. Eckart C, Young G. The approximation of one matrix by another of lower rank. Psychometrika. 1936;1(3):211-218. doi:10.1007/BF02288367</w:t>
      </w:r>
    </w:p>
    <w:p w14:paraId="5FED9A55" w14:textId="77777777">
      <w:pPr>
        <w:spacing w:after="200" w:line="276" w:lineRule="auto"/>
      </w:pPr>
      <w:r>
        <w:rPr>
          <w:rFonts w:ascii="맑은 고딕" w:hAnsi="맑은 고딕" w:eastAsia="맑은 고딕" w:cs="맑은 고딕" w:csTheme="minorBidi"/>
          <w:sz w:val="21"/>
          <w:szCs w:val="22"/>
        </w:rPr>
        <w:t xml:space="preserve">11. </w:t>
      </w:r>
      <w:r>
        <w:rPr>
          <w:rFonts w:ascii="맑은 고딕" w:hAnsi="맑은 고딕" w:eastAsia="맑은 고딕" w:cs="맑은 고딕" w:csTheme="minorBidi"/>
          <w:sz w:val="21"/>
          <w:szCs w:val="22"/>
        </w:rPr>
        <w:t>Satopaa</w:t>
      </w:r>
      <w:r>
        <w:rPr>
          <w:rFonts w:ascii="맑은 고딕" w:hAnsi="맑은 고딕" w:eastAsia="맑은 고딕" w:cs="맑은 고딕" w:csTheme="minorBidi"/>
          <w:sz w:val="21"/>
          <w:szCs w:val="22"/>
        </w:rPr>
        <w:t xml:space="preserve"> V, Albrecht J, Irwin D, Raghavan B. Finding a "</w:t>
      </w:r>
      <w:r>
        <w:rPr>
          <w:rFonts w:ascii="맑은 고딕" w:hAnsi="맑은 고딕" w:eastAsia="맑은 고딕" w:cs="맑은 고딕" w:csTheme="minorBidi"/>
          <w:sz w:val="21"/>
          <w:szCs w:val="22"/>
        </w:rPr>
        <w:t>Kneedle</w:t>
      </w:r>
      <w:r>
        <w:rPr>
          <w:rFonts w:ascii="맑은 고딕" w:hAnsi="맑은 고딕" w:eastAsia="맑은 고딕" w:cs="맑은 고딕" w:csTheme="minorBidi"/>
          <w:sz w:val="21"/>
          <w:szCs w:val="22"/>
        </w:rPr>
        <w:t xml:space="preserve">" in a haystack: detecting knee points in system behavior. In: </w:t>
      </w:r>
      <w:r>
        <w:rPr>
          <w:rFonts w:ascii="맑은 고딕" w:hAnsi="맑은 고딕" w:eastAsia="맑은 고딕" w:cs="맑은 고딕" w:csTheme="minorBidi"/>
          <w:i/>
          <w:iCs/>
          <w:sz w:val="21"/>
          <w:szCs w:val="22"/>
        </w:rPr>
        <w:t>2011 31st International Conference on Distributed Computing Systems Workshops</w:t>
      </w:r>
      <w:r>
        <w:rPr>
          <w:rFonts w:ascii="맑은 고딕" w:hAnsi="맑은 고딕" w:eastAsia="맑은 고딕" w:cs="맑은 고딕" w:csTheme="minorBidi"/>
          <w:sz w:val="21"/>
          <w:szCs w:val="22"/>
        </w:rPr>
        <w:t>. IEEE; 2011:166-171. doi:10.1109/ICDCSW.2011.20</w:t>
      </w:r>
    </w:p>
    <w:p w14:paraId="39469468" w14:textId="77777777">
      <w:pPr>
        <w:spacing w:after="200" w:line="276" w:lineRule="auto"/>
      </w:pPr>
      <w:r>
        <w:rPr>
          <w:rFonts w:ascii="맑은 고딕" w:hAnsi="맑은 고딕" w:eastAsia="맑은 고딕" w:cs="맑은 고딕" w:csTheme="minorBidi"/>
          <w:sz w:val="21"/>
          <w:szCs w:val="22"/>
        </w:rPr>
        <w:t xml:space="preserve">12. </w:t>
      </w:r>
      <w:r>
        <w:rPr>
          <w:rFonts w:ascii="맑은 고딕" w:hAnsi="맑은 고딕" w:eastAsia="맑은 고딕" w:cs="맑은 고딕" w:csTheme="minorBidi"/>
          <w:sz w:val="21"/>
          <w:szCs w:val="22"/>
        </w:rPr>
        <w:t>Shalmon</w:t>
      </w:r>
      <w:r>
        <w:rPr>
          <w:rFonts w:ascii="맑은 고딕" w:hAnsi="맑은 고딕" w:eastAsia="맑은 고딕" w:cs="맑은 고딕" w:csTheme="minorBidi"/>
          <w:sz w:val="21"/>
          <w:szCs w:val="22"/>
        </w:rPr>
        <w:t xml:space="preserve"> T, Salazar P, Horie M, et al. Predefined and data driven CT densitometric features predict critical illness and hospital length of stay in COVID-19 patients. </w:t>
      </w:r>
      <w:r>
        <w:rPr>
          <w:rFonts w:ascii="맑은 고딕" w:hAnsi="맑은 고딕" w:eastAsia="맑은 고딕" w:cs="맑은 고딕" w:csTheme="minorBidi"/>
          <w:i/>
          <w:iCs/>
          <w:sz w:val="21"/>
          <w:szCs w:val="22"/>
        </w:rPr>
        <w:t>Sci Rep</w:t>
      </w:r>
      <w:r>
        <w:rPr>
          <w:rFonts w:ascii="맑은 고딕" w:hAnsi="맑은 고딕" w:eastAsia="맑은 고딕" w:cs="맑은 고딕" w:csTheme="minorBidi"/>
          <w:sz w:val="21"/>
          <w:szCs w:val="22"/>
        </w:rPr>
        <w:t>. 2022;12(1):8143. doi:10.1038/s41598-022-12311-4</w:t>
      </w:r>
    </w:p>
    <w:p w14:paraId="63B83857" w14:textId="77777777">
      <w:pPr>
        <w:spacing w:after="200" w:line="276" w:lineRule="auto"/>
      </w:pPr>
      <w:r>
        <w:rPr>
          <w:rFonts w:ascii="맑은 고딕" w:hAnsi="맑은 고딕" w:eastAsia="맑은 고딕" w:cs="맑은 고딕" w:csTheme="minorBidi"/>
          <w:sz w:val="21"/>
          <w:szCs w:val="22"/>
        </w:rPr>
        <w:t xml:space="preserve">13. Kohavi R. A study of cross-validation and bootstrap for accuracy estimation and model selection. In: </w:t>
      </w:r>
      <w:r>
        <w:rPr>
          <w:rFonts w:ascii="맑은 고딕" w:hAnsi="맑은 고딕" w:eastAsia="맑은 고딕" w:cs="맑은 고딕" w:csTheme="minorBidi"/>
          <w:i/>
          <w:iCs/>
          <w:sz w:val="21"/>
          <w:szCs w:val="22"/>
        </w:rPr>
        <w:t>Proceedings of the 14th International Joint Conference on Artificial Intelligence</w:t>
      </w:r>
      <w:r>
        <w:rPr>
          <w:rFonts w:ascii="맑은 고딕" w:hAnsi="맑은 고딕" w:eastAsia="맑은 고딕" w:cs="맑은 고딕" w:csTheme="minorBidi"/>
          <w:sz w:val="21"/>
          <w:szCs w:val="22"/>
        </w:rPr>
        <w:t>. 1995:1137-1143.</w:t>
      </w:r>
    </w:p>
    <w:p w14:paraId="2D56444A" w14:textId="77777777">
      <w:pPr>
        <w:spacing w:after="200" w:line="276" w:lineRule="auto"/>
      </w:pPr>
      <w:r>
        <w:rPr>
          <w:rFonts w:ascii="맑은 고딕" w:hAnsi="맑은 고딕" w:eastAsia="맑은 고딕" w:cs="맑은 고딕" w:csTheme="minorBidi"/>
          <w:sz w:val="21"/>
          <w:szCs w:val="22"/>
        </w:rPr>
        <w:t xml:space="preserve">14. Jeon ET, Park H, Lee JK, et al. Deep learning-based COPD exacerbation prediction using flow-volume and volume-time curve imaging: retrospective cohort study. </w:t>
      </w:r>
      <w:r>
        <w:rPr>
          <w:rFonts w:ascii="맑은 고딕" w:hAnsi="맑은 고딕" w:eastAsia="맑은 고딕" w:cs="맑은 고딕" w:csTheme="minorBidi"/>
          <w:i/>
          <w:iCs/>
          <w:sz w:val="21"/>
          <w:szCs w:val="22"/>
        </w:rPr>
        <w:t>J Med Internet Res</w:t>
      </w:r>
      <w:r>
        <w:rPr>
          <w:rFonts w:ascii="맑은 고딕" w:hAnsi="맑은 고딕" w:eastAsia="맑은 고딕" w:cs="맑은 고딕" w:csTheme="minorBidi"/>
          <w:sz w:val="21"/>
          <w:szCs w:val="22"/>
        </w:rPr>
        <w:t>. 2025;</w:t>
      </w:r>
      <w:r>
        <w:rPr>
          <w:rFonts w:ascii="맑은 고딕" w:hAnsi="맑은 고딕" w:eastAsia="맑은 고딕" w:cs="맑은 고딕" w:csTheme="minorBidi"/>
          <w:sz w:val="21"/>
          <w:szCs w:val="22"/>
        </w:rPr>
        <w:t>27:e</w:t>
      </w:r>
      <w:r>
        <w:rPr>
          <w:rFonts w:ascii="맑은 고딕" w:hAnsi="맑은 고딕" w:eastAsia="맑은 고딕" w:cs="맑은 고딕" w:csTheme="minorBidi"/>
          <w:sz w:val="21"/>
          <w:szCs w:val="22"/>
        </w:rPr>
        <w:t>69785. doi:10.2196/69785</w:t>
      </w:r>
    </w:p>
    <w:p w14:paraId="618686D3" w14:textId="77777777">
      <w:pPr>
        <w:spacing w:after="200" w:line="276" w:lineRule="auto"/>
      </w:pPr>
      <w:r>
        <w:rPr>
          <w:rFonts w:ascii="맑은 고딕" w:hAnsi="맑은 고딕" w:eastAsia="맑은 고딕" w:cs="맑은 고딕" w:csTheme="minorBidi"/>
          <w:sz w:val="21"/>
          <w:szCs w:val="22"/>
        </w:rPr>
        <w:t xml:space="preserve">15. DeLong ER, DeLong DM, Clarke-Pearson DL. Comparing the areas under two or more correlated receiver operating characteristic curves: a nonparametric approach. </w:t>
      </w:r>
      <w:r>
        <w:rPr>
          <w:rFonts w:ascii="맑은 고딕" w:hAnsi="맑은 고딕" w:eastAsia="맑은 고딕" w:cs="맑은 고딕" w:csTheme="minorBidi"/>
          <w:i/>
          <w:iCs/>
          <w:sz w:val="21"/>
          <w:szCs w:val="22"/>
        </w:rPr>
        <w:t>Biometrics</w:t>
      </w:r>
      <w:r>
        <w:rPr>
          <w:rFonts w:ascii="맑은 고딕" w:hAnsi="맑은 고딕" w:eastAsia="맑은 고딕" w:cs="맑은 고딕" w:csTheme="minorBidi"/>
          <w:sz w:val="21"/>
          <w:szCs w:val="22"/>
        </w:rPr>
        <w:t>. 1988;44(3):837-845. doi:10.2307/2531595</w:t>
      </w:r>
    </w:p>
    <w:p w14:paraId="00EF327C" w14:textId="77777777">
      <w:pPr>
        <w:spacing w:after="200" w:line="276" w:lineRule="auto"/>
      </w:pPr>
      <w:r>
        <w:rPr>
          <w:rFonts w:ascii="맑은 고딕" w:hAnsi="맑은 고딕" w:eastAsia="맑은 고딕" w:cs="맑은 고딕" w:csTheme="minorBidi"/>
          <w:sz w:val="21"/>
          <w:szCs w:val="22"/>
        </w:rPr>
        <w:t xml:space="preserve">16. Youden WJ. Index for rating diagnostic tests. </w:t>
      </w:r>
      <w:r>
        <w:rPr>
          <w:rFonts w:ascii="맑은 고딕" w:hAnsi="맑은 고딕" w:eastAsia="맑은 고딕" w:cs="맑은 고딕" w:csTheme="minorBidi"/>
          <w:i/>
          <w:iCs/>
          <w:sz w:val="21"/>
          <w:szCs w:val="22"/>
        </w:rPr>
        <w:t>Cancer</w:t>
      </w:r>
      <w:r>
        <w:rPr>
          <w:rFonts w:ascii="맑은 고딕" w:hAnsi="맑은 고딕" w:eastAsia="맑은 고딕" w:cs="맑은 고딕" w:csTheme="minorBidi"/>
          <w:sz w:val="21"/>
          <w:szCs w:val="22"/>
        </w:rPr>
        <w:t>. 1950;3(1):32-35. doi:10.1002/1097-0142(1950)3:1&lt;</w:t>
      </w:r>
      <w:r>
        <w:rPr>
          <w:rFonts w:ascii="맑은 고딕" w:hAnsi="맑은 고딕" w:eastAsia="맑은 고딕" w:cs="맑은 고딕" w:csTheme="minorBidi"/>
          <w:sz w:val="21"/>
          <w:szCs w:val="22"/>
        </w:rPr>
        <w:t>32::</w:t>
      </w:r>
      <w:r>
        <w:rPr>
          <w:rFonts w:ascii="맑은 고딕" w:hAnsi="맑은 고딕" w:eastAsia="맑은 고딕" w:cs="맑은 고딕" w:csTheme="minorBidi"/>
          <w:sz w:val="21"/>
          <w:szCs w:val="22"/>
        </w:rPr>
        <w:t>AID-CNCR2820030106&gt;3.0.CO;2-3</w:t>
      </w:r>
    </w:p>
    <w:sectPr>
      <w:pgSz w:w="12240" w:h="15840"/>
      <w:pgMar w:top="1440" w:right="1800" w:bottom="1440" w:left="180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D95B5" w14:textId="77777777">
      <w:pPr>
        <w:spacing w:after="0" w:line="240" w:lineRule="auto"/>
      </w:pPr>
      <w:r>
        <w:separator/>
      </w:r>
    </w:p>
  </w:endnote>
  <w:endnote w:type="continuationSeparator" w:id="0">
    <w:p w14:paraId="1A37BC3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8C2F6" w14:textId="77777777">
      <w:pPr>
        <w:spacing w:after="0" w:line="240" w:lineRule="auto"/>
      </w:pPr>
      <w:r>
        <w:separator/>
      </w:r>
    </w:p>
  </w:footnote>
  <w:footnote w:type="continuationSeparator" w:id="0">
    <w:p w14:paraId="5644AAF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86805068">
    <w:abstractNumId w:val="8"/>
  </w:num>
  <w:num w:numId="2" w16cid:durableId="147135612">
    <w:abstractNumId w:val="6"/>
  </w:num>
  <w:num w:numId="3" w16cid:durableId="1677879165">
    <w:abstractNumId w:val="5"/>
  </w:num>
  <w:num w:numId="4" w16cid:durableId="1276406048">
    <w:abstractNumId w:val="4"/>
  </w:num>
  <w:num w:numId="5" w16cid:durableId="976449495">
    <w:abstractNumId w:val="7"/>
  </w:num>
  <w:num w:numId="6" w16cid:durableId="949358514">
    <w:abstractNumId w:val="3"/>
  </w:num>
  <w:num w:numId="7" w16cid:durableId="608660177">
    <w:abstractNumId w:val="2"/>
  </w:num>
  <w:num w:numId="8" w16cid:durableId="1745880549">
    <w:abstractNumId w:val="1"/>
  </w:num>
  <w:num w:numId="9" w16cid:durableId="2101943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22"/>
    <w:rsid w:val="000F05FC"/>
    <w:rsid w:val="00103BD7"/>
    <w:rsid w:val="0015074B"/>
    <w:rsid w:val="001731DB"/>
    <w:rsid w:val="001B1FC1"/>
    <w:rsid w:val="0029639D"/>
    <w:rsid w:val="002D61C2"/>
    <w:rsid w:val="00326F90"/>
    <w:rsid w:val="00470AE8"/>
    <w:rsid w:val="00612E61"/>
    <w:rsid w:val="00677F7E"/>
    <w:rsid w:val="006F3B08"/>
    <w:rsid w:val="007D5F84"/>
    <w:rsid w:val="008A1EBD"/>
    <w:rsid w:val="008D1F7B"/>
    <w:rsid w:val="00AA1D8D"/>
    <w:rsid w:val="00B47730"/>
    <w:rsid w:val="00C55206"/>
    <w:rsid w:val="00CB0664"/>
    <w:rsid w:val="00EB1AF5"/>
    <w:rsid w:val="00F611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34E3888-C37E-474D-88BF-0F913416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Plain Table 2"/>
    <w:basedOn w:val="a3"/>
    <w:uiPriority w:val="99"/>
    <w:rsid w:val="006F3B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1910</Words>
  <Characters>10889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10</cp:revision>
  <dcterms:created xsi:type="dcterms:W3CDTF">2013-12-23T23:15:00Z</dcterms:created>
  <dcterms:modified xsi:type="dcterms:W3CDTF">2026-08-24T04:04:13.315Z</dcterms:modified>
  <cp:category/>
</cp:coreProperties>
</file>