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51148D5C">
      <w:pPr>
        <w:pStyle w:val="Heading1"/>
      </w:pPr>
      <w:r>
        <w:rPr>
          <w:rFonts w:ascii="Calibri" w:hAnsi="Calibri" w:eastAsia="ＭＳ ゴシック" w:cs="Calibri" w:asciiTheme="majorHAnsi" w:hAnsiTheme="majorHAnsi" w:eastAsiaTheme="majorEastAsia"/>
          <w:b/>
          <w:bCs/>
          <w:color w:val="376092"/>
          <w:sz w:val="28"/>
          <w:szCs w:val="28"/>
        </w:rPr>
        <w:t>Abstract</w:t>
      </w:r>
    </w:p>
    <w:p w14:paraId="75983DD8">
      <w:pPr>
        <w:spacing w:line="276" w:lineRule="auto"/>
      </w:pPr>
      <w:r>
        <w:rPr>
          <w:rFonts w:ascii="Cambria" w:hAnsi="Cambria" w:eastAsia="ＭＳ 明朝" w:cs="Cambria" w:asciiTheme="minorHAnsi" w:hAnsiTheme="minorHAnsi" w:eastAsiaTheme="minorEastAsia"/>
          <w:b/>
          <w:bCs/>
          <w:sz w:val="22"/>
          <w:szCs w:val="22"/>
        </w:rPr>
        <w:t xml:space="preserve">Background: </w:t>
      </w:r>
      <w:r>
        <w:rPr>
          <w:rFonts w:ascii="Cambria" w:hAnsi="Cambria" w:eastAsia="ＭＳ 明朝" w:cs="Cambria" w:asciiTheme="minorHAnsi" w:hAnsiTheme="minorHAnsi" w:eastAsiaTheme="minorEastAsia"/>
          <w:sz w:val="22"/>
          <w:szCs w:val="22"/>
        </w:rPr>
        <w:t>CT performed for various clinical indications increasingly supports opportunistic screening for cardiometabolic disease, but the scanner’s Automatic Exposure Control (AEC) tube-current modulation curve — recorded as acquisition metadata on nearly every scan — has not been evaluated as a diagnostic biomarker.</w:t>
      </w:r>
    </w:p>
    <w:p w14:paraId="61200878">
      <w:pPr>
        <w:spacing w:line="276" w:lineRule="auto"/>
      </w:pPr>
      <w:r>
        <w:rPr>
          <w:rFonts w:ascii="Cambria" w:hAnsi="Cambria" w:eastAsia="ＭＳ 明朝" w:cs="Cambria" w:asciiTheme="minorHAnsi" w:hAnsiTheme="minorHAnsi" w:eastAsiaTheme="minorEastAsia"/>
          <w:b/>
          <w:bCs/>
          <w:sz w:val="22"/>
          <w:szCs w:val="22"/>
        </w:rPr>
        <w:t xml:space="preserve">Purpose: </w:t>
      </w:r>
      <w:r>
        <w:rPr>
          <w:rFonts w:ascii="Cambria" w:hAnsi="Cambria" w:eastAsia="ＭＳ 明朝" w:cs="Cambria" w:asciiTheme="minorHAnsi" w:hAnsiTheme="minorHAnsi" w:eastAsiaTheme="minorEastAsia"/>
          <w:sz w:val="22"/>
          <w:szCs w:val="22"/>
        </w:rPr>
        <w:t>To evaluate whether an AEC-128 curve-derived shape score improves diagnostic classification of diabetes, hypertension, and chronic kidney disease beyond clinical and CT-adiposity baselines, in an internal development cohort and an independent, frozen external-validation cohort.</w:t>
      </w:r>
    </w:p>
    <w:p w14:paraId="20513189">
      <w:pPr>
        <w:spacing w:line="276" w:lineRule="auto"/>
      </w:pPr>
      <w:r>
        <w:rPr>
          <w:rFonts w:ascii="Cambria" w:hAnsi="Cambria" w:eastAsia="ＭＳ 明朝" w:cs="Cambria" w:asciiTheme="minorHAnsi" w:hAnsiTheme="minorHAnsi" w:eastAsiaTheme="minorEastAsia"/>
          <w:b/>
          <w:bCs/>
          <w:sz w:val="22"/>
          <w:szCs w:val="22"/>
        </w:rPr>
        <w:t xml:space="preserve">Materials and Methods: </w:t>
      </w:r>
      <w:r>
        <w:rPr>
          <w:rFonts w:ascii="Cambria" w:hAnsi="Cambria" w:eastAsia="ＭＳ 明朝" w:cs="Cambria" w:asciiTheme="minorHAnsi" w:hAnsiTheme="minorHAnsi" w:eastAsiaTheme="minorEastAsia"/>
          <w:sz w:val="22"/>
          <w:szCs w:val="22"/>
        </w:rPr>
        <w:t>This retrospective study included two tertiary-hospital cohorts imaged at 100 kVp (internal, Gangnam Severance Hospital, n=1088; external, Sinchon Severance Hospital, n=925). A disease-agnostic AEC-128 shape score was derived by functional principal component analysis (FPCA) on the internal cohort and added to two nested logistic-regression model families (clinic4+mean_mAs and clinic4+VAT+SAT). Performance was assessed with the area under the receiver operating characteristic curve (AUC), compared with paired DeLong tests; Bonferroni correction was applied across the 24 DeLong tests performed (α=.0021).</w:t>
      </w:r>
    </w:p>
    <w:p w14:paraId="341DB509">
      <w:pPr>
        <w:spacing w:line="276" w:lineRule="auto"/>
      </w:pPr>
      <w:r>
        <w:rPr>
          <w:rFonts w:ascii="Cambria" w:hAnsi="Cambria" w:eastAsia="ＭＳ 明朝" w:cs="Cambria" w:asciiTheme="minorHAnsi" w:hAnsiTheme="minorHAnsi" w:eastAsiaTheme="minorEastAsia"/>
          <w:b/>
          <w:bCs/>
          <w:sz w:val="22"/>
          <w:szCs w:val="22"/>
        </w:rPr>
        <w:t xml:space="preserve">Results: </w:t>
      </w:r>
      <w:r>
        <w:rPr>
          <w:rFonts w:ascii="Cambria" w:hAnsi="Cambria" w:eastAsia="ＭＳ 明朝" w:cs="Cambria" w:asciiTheme="minorHAnsi" w:hAnsiTheme="minorHAnsi" w:eastAsiaTheme="minorEastAsia"/>
          <w:sz w:val="22"/>
          <w:szCs w:val="22"/>
        </w:rPr>
        <w:t>Adding the AEC score improved AUC for diabetes in the external cohort against both baselines (0.663→0.699 and 0.674→0.699; both P≤.002, Bonferroni-significant) and for chronic kidney disease in the external cohort in one baseline family (0.613→0.643, P&lt;.001, Bonferroni-significant). Internal-cohort improvements for diabetes (nominal P=.012–.048) and the external-cohort improvement for hypertension (nominal P=.011) did not survive Bonferroni correction.</w:t>
      </w:r>
    </w:p>
    <w:p w14:paraId="0D4BBB22">
      <w:pPr>
        <w:spacing w:line="276" w:lineRule="auto"/>
      </w:pPr>
      <w:r>
        <w:rPr>
          <w:rFonts w:ascii="Cambria" w:hAnsi="Cambria" w:eastAsia="ＭＳ 明朝" w:cs="Cambria" w:asciiTheme="minorHAnsi" w:hAnsiTheme="minorHAnsi" w:eastAsiaTheme="minorEastAsia"/>
          <w:b/>
          <w:bCs/>
          <w:sz w:val="22"/>
          <w:szCs w:val="22"/>
        </w:rPr>
        <w:t xml:space="preserve">Conclusion: </w:t>
      </w:r>
      <w:r>
        <w:rPr>
          <w:rFonts w:ascii="Cambria" w:hAnsi="Cambria" w:eastAsia="ＭＳ 明朝" w:cs="Cambria" w:asciiTheme="minorHAnsi" w:hAnsiTheme="minorHAnsi" w:eastAsiaTheme="minorEastAsia"/>
          <w:sz w:val="22"/>
          <w:szCs w:val="22"/>
        </w:rPr>
        <w:t>The AEC-128 tube-current modulation curve, a byproduct already recorded on nearly every clinical CT scan, showed a small but Bonferroni-significant incremental diagnostic value for diabetes and chronic kidney disease on external validation, at negligible marginal acquisition cost.</w:t>
      </w:r>
    </w:p>
    <w:p w14:paraId="22B807A2">
      <w:pPr>
        <w:pStyle w:val="Heading1"/>
      </w:pPr>
      <w:r>
        <w:rPr>
          <w:rFonts w:ascii="Calibri" w:hAnsi="Calibri" w:eastAsia="ＭＳ ゴシック" w:cs="Calibri" w:asciiTheme="majorHAnsi" w:hAnsiTheme="majorHAnsi" w:eastAsiaTheme="majorEastAsia"/>
          <w:b/>
          <w:bCs/>
          <w:color w:val="376092"/>
          <w:sz w:val="28"/>
          <w:szCs w:val="28"/>
        </w:rPr>
        <w:t>Introduction</w:t>
      </w:r>
    </w:p>
    <w:p w14:paraId="3E068A91">
      <w:pPr>
        <w:spacing w:line="276" w:lineRule="auto"/>
      </w:pPr>
      <w:r>
        <w:rPr>
          <w:rFonts w:ascii="Cambria" w:hAnsi="Cambria" w:eastAsia="ＭＳ 明朝" w:cs="Cambria" w:asciiTheme="minorHAnsi" w:hAnsiTheme="minorHAnsi" w:eastAsiaTheme="minorEastAsia"/>
          <w:sz w:val="22"/>
          <w:szCs w:val="22"/>
        </w:rPr>
        <w:t>Opportunistic use of CT performed for an unrelated clinical indication has become an increasingly established paradigm for population-level cardiometabolic risk stratification: automated analysis of visceral and subcutaneous fat, skeletal muscle, hepatic fat, bone density, and vascular calcification on CT obtained for cancer screening or other indications has repeatedly been shown to predict diabetes and related cardiometabolic comorbidities without any additional radiation exposure or cost (1-3). Almost without exception, however, the opportunistic biomarkers explored to date have been derived from the reconstructed CT image itself. One signal that is generated on essentially every clinical CT scan — including scans performed for entirely unrelated indications — but that has received almost no attention as a candidate biomarker is the scanner's Automatic Exposure Control (AEC) tube-current modulation curve.</w:t>
      </w:r>
    </w:p>
    <w:p w14:paraId="44CC00A4">
      <w:pPr>
        <w:spacing w:line="276" w:lineRule="auto"/>
      </w:pPr>
      <w:r>
        <w:rPr>
          <w:rFonts w:ascii="Cambria" w:hAnsi="Cambria" w:eastAsia="ＭＳ 明朝" w:cs="Cambria" w:asciiTheme="minorHAnsi" w:hAnsiTheme="minorHAnsi" w:eastAsiaTheme="minorEastAsia"/>
          <w:sz w:val="22"/>
          <w:szCs w:val="22"/>
        </w:rPr>
        <w:t>During image acquisition, the scanner continuously adjusts the tube current (mA) along the z-axis to maintain a target image-quality level as the patient's cross-sectional attenuation changes from the thorax to the pelvis (4,5). Because this modulation is driven directly by the patient's own attenuation profile, the resulting curve implicitly encodes body habitus and regional tissue composition along the scan range (6–8) — the same underlying quantities that, when measured directly as CT body-composition indices — muscle mass and density, adipose-tissue volume and attenuation — have been consistently linked to diabetes, hypertension, dyslipidemia, and metabolic syndrome in large CT-based cohorts (1,9). If the AEC curve meaningfully reflects this same body composition, it should in principle carry information relevant to these same conditions — at essentially zero marginal acquisition cost, since it is recorded automatically as a byproduct of a scan already being performed.</w:t>
      </w:r>
    </w:p>
    <w:p w14:paraId="4DB9764E">
      <w:pPr>
        <w:spacing w:line="276" w:lineRule="auto"/>
      </w:pPr>
      <w:r>
        <w:rPr>
          <w:rFonts w:ascii="Cambria" w:hAnsi="Cambria" w:eastAsia="ＭＳ 明朝" w:cs="Cambria" w:asciiTheme="minorHAnsi" w:hAnsiTheme="minorHAnsi" w:eastAsiaTheme="minorEastAsia"/>
          <w:sz w:val="22"/>
          <w:szCs w:val="22"/>
        </w:rPr>
        <w:t>Despite this plausible link, prior work involving the AEC / tube-current-modulation curve itself has been directed almost exclusively at radiation-dose reduction and dose estimation — validating z-axis modulation technique (4), cataloguing available dose-management tools (5), deriving size-specific dose estimates from regional attenuation (6–8), or, most recently, predicting per-organ radiation dose directly from scout and tube-current-modulation data with deep learning (10) — rather than at whether the curve carries diagnostic information independent of dose. To our knowledge, whether the AEC curve constitutes a novel, clinically meaningful opportunistic biomarker has not been directly tested.</w:t>
      </w:r>
    </w:p>
    <w:p w14:paraId="3BF33259">
      <w:pPr>
        <w:spacing w:line="276" w:lineRule="auto"/>
      </w:pPr>
      <w:r>
        <w:rPr>
          <w:rFonts w:ascii="Cambria" w:hAnsi="Cambria" w:eastAsia="ＭＳ 明朝" w:cs="Cambria" w:asciiTheme="minorHAnsi" w:hAnsiTheme="minorHAnsi" w:eastAsiaTheme="minorEastAsia"/>
          <w:sz w:val="22"/>
          <w:szCs w:val="22"/>
        </w:rPr>
        <w:t>The aim of this study was therefore to evaluate the AEC-128 tube-current modulation curve as a candidate opportunistic biomarker for diabetes, hypertension, and chronic kidney disease, and to determine whether adding a curve-derived shape score to clinical models of varying complexity — a minimal demographic model, and models additionally containing scan-level tube-current or CT-derived adiposity information — improves diagnostic classification performance, in an internal development cohort and an independent, frozen external-validation cohort.</w:t>
      </w:r>
    </w:p>
    <w:p w14:paraId="2F1ADB8D">
      <w:pPr>
        <w:pStyle w:val="Heading1"/>
      </w:pPr>
      <w:r>
        <w:rPr>
          <w:rFonts w:ascii="Calibri" w:hAnsi="Calibri" w:eastAsia="ＭＳ ゴシック" w:cs="Calibri" w:asciiTheme="majorHAnsi" w:hAnsiTheme="majorHAnsi" w:eastAsiaTheme="majorEastAsia"/>
          <w:b/>
          <w:bCs/>
          <w:color w:val="376092"/>
          <w:sz w:val="28"/>
          <w:szCs w:val="28"/>
        </w:rPr>
        <w:t>Materials and Methods</w:t>
      </w:r>
    </w:p>
    <w:p w14:paraId="55BC177E">
      <w:pPr>
        <w:spacing w:line="276" w:lineRule="auto"/>
      </w:pPr>
      <w:r>
        <w:rPr>
          <w:rFonts w:ascii="Cambria" w:hAnsi="Cambria" w:eastAsia="ＭＳ 明朝" w:cs="Cambria" w:asciiTheme="minorHAnsi" w:hAnsiTheme="minorHAnsi" w:eastAsiaTheme="minorEastAsia"/>
          <w:i/>
          <w:iCs/>
          <w:color w:val="C00000"/>
          <w:sz w:val="22"/>
          <w:szCs w:val="22"/>
        </w:rPr>
        <w:t>[PLACEHOLDER] This retrospective study was approved by the Institutional Review Boards of Gangnam Severance Hospital and Sinchon Severance Hospital (IRB No. ______ and ______), and the requirement for informed consent was waived. — Insert actual IRB approval numbers before submission.</w:t>
      </w:r>
    </w:p>
    <w:p w14:paraId="45FEA141">
      <w:pPr>
        <w:pStyle w:val="Heading2"/>
      </w:pPr>
      <w:r>
        <w:rPr>
          <w:rFonts w:ascii="Calibri" w:hAnsi="Calibri" w:eastAsia="ＭＳ ゴシック" w:cs="Calibri" w:asciiTheme="majorHAnsi" w:hAnsiTheme="majorHAnsi" w:eastAsiaTheme="majorEastAsia"/>
          <w:b/>
          <w:bCs/>
          <w:color w:val="4F81BD"/>
          <w:sz w:val="26"/>
          <w:szCs w:val="26"/>
        </w:rPr>
        <w:t>Patients</w:t>
      </w:r>
    </w:p>
    <w:p w14:paraId="77927790">
      <w:pPr>
        <w:spacing w:line="276" w:lineRule="auto"/>
      </w:pPr>
      <w:r>
        <w:rPr>
          <w:rFonts w:ascii="Cambria" w:hAnsi="Cambria" w:eastAsia="ＭＳ 明朝" w:cs="Cambria" w:asciiTheme="minorHAnsi" w:hAnsiTheme="minorHAnsi" w:eastAsiaTheme="minorEastAsia"/>
          <w:sz w:val="22"/>
          <w:szCs w:val="22"/>
        </w:rPr>
        <w:t>This retrospective study used two tertiary-hospital cohorts drawn from different institutions and different scanner populations: an internal development cohort (Gangnam Severance Hospital) and an independent external-validation cohort (Sinchon Severance Hospital). Both cohorts comprised CT examinations acquired at a uniform tube voltage of 100 kVp. A model trained on the internal cohort was subsequently frozen and applied once to the external cohort, allowing assessment of cross-institutional generalization; both cohorts retained their full, unfiltered mix of scanner vendors (Siemens, GE, Philips, and Canon in both cohorts), so that the external-validation result would reflect performance across heterogeneous scanner hardware rather than a vendor-matched subset.</w:t>
      </w:r>
    </w:p>
    <w:p w14:paraId="7AE3486A">
      <w:pPr>
        <w:spacing w:after="200" w:line="276" w:lineRule="auto"/>
      </w:pPr>
      <w:r>
        <w:rPr>
          <w:rFonts w:ascii="Cambria" w:hAnsi="Cambria" w:eastAsia="ＭＳ 明朝" w:cs="Cambria" w:asciiTheme="minorHAnsi" w:hAnsiTheme="minorHAnsi" w:eastAsiaTheme="minorEastAsia"/>
          <w:sz w:val="22"/>
          <w:szCs w:val="22"/>
        </w:rPr>
        <w:t>Starting from raw extracts obtained through each hospital's data-service team — a patient-visit-level CT DICOM archive automatically cross-checked against a structured clinical database covering demographics, height and weight, CT-derived body-composition measures, and already-adjudicated diagnoses of hypertension (HTN), diabetes mellitus (DM), and chronic kidney disease (CKD) — patients younger than 20 years were excluded, and patients missing any of the required clinical variables (age, height, weight, visceral and subcutaneous fat volume, or a valid sex code) were further excluded. The final patient counts passing all selection steps were 1088 (internal) and 925 (external). (Figure 1, Table 1)</w:t>
      </w:r>
      <w:r>
        <w:rPr>
          <w:rFonts w:ascii="Cambria" w:hAnsi="Cambria" w:eastAsia="ＭＳ 明朝" w:cs="Cambria" w:asciiTheme="minorHAnsi" w:hAnsiTheme="minorHAnsi" w:eastAsiaTheme="minorEastAsia"/>
          <w:b/>
          <w:bCs/>
          <w:sz w:val="22"/>
          <w:szCs w:val="22"/>
        </w:rPr>
      </w:r>
    </w:p>
    <w:p w14:paraId="03730000">
      <w:pPr>
        <w:spacing w:before="200" w:after="0"/>
      </w:pPr>
      <w:r>
        <w:drawing>
          <wp:inline distT="0" distB="0" distL="0" distR="0">
            <wp:extent cx="5486400" cy="2162175"/>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11"/>
                    <a:stretch>
                      <a:fillRect/>
                    </a:stretch>
                  </pic:blipFill>
                  <pic:spPr>
                    <a:xfrm>
                      <a:off x="0" y="0"/>
                      <a:ext cx="5486400" cy="2162175"/>
                    </a:xfrm>
                    <a:prstGeom prst="rect">
                      <a:avLst/>
                    </a:prstGeom>
                  </pic:spPr>
                </pic:pic>
              </a:graphicData>
            </a:graphic>
          </wp:inline>
        </w:drawing>
      </w:r>
    </w:p>
    <w:p w14:paraId="24F943B8">
      <w:pPr>
        <w:spacing w:before="0" w:after="200"/>
        <w:ind w:left="360"/>
      </w:pPr>
      <w:r>
        <w:rPr>
          <w:rFonts w:ascii="Cambria" w:hAnsi="Cambria" w:eastAsia="ＭＳ 明朝" w:cs="Cambria" w:asciiTheme="minorHAnsi" w:hAnsiTheme="minorHAnsi" w:eastAsiaTheme="minorEastAsia"/>
          <w:b/>
          <w:bCs/>
          <w:i/>
          <w:iCs/>
          <w:sz w:val="22"/>
          <w:szCs w:val="22"/>
        </w:rPr>
        <w:t>Figure 1. Patient selection flow: internal, 1090 enrolled → 2 excluded (age &lt;20 y) → 1088 final; external, 926 → 1 excluded → 925 final.</w:t>
      </w:r>
    </w:p>
    <w:p w14:paraId="22D6CC0C">
      <w:pPr>
        <w:spacing w:before="200" w:after="0"/>
        <w:ind w:left="360"/>
      </w:pPr>
      <w:r>
        <w:rPr>
          <w:rFonts w:ascii="Cambria" w:hAnsi="Cambria" w:eastAsia="ＭＳ 明朝" w:cs="Cambria" w:asciiTheme="minorHAnsi" w:hAnsiTheme="minorHAnsi" w:eastAsiaTheme="minorEastAsia"/>
          <w:b/>
          <w:bCs/>
          <w:i/>
          <w:iCs/>
          <w:sz w:val="22"/>
          <w:szCs w:val="22"/>
        </w:rPr>
        <w:t>Table 1. Baseline characteristics of the internal and external cohorts.</w:t>
      </w:r>
    </w:p>
    <w:tbl>
      <w:tblPr>
        <w:tblStyle w:val="LightShading"/>
        <w:tblW w:w="0" w:type="auto"/>
        <w:tblBorders>
          <w:top w:val="single" w:sz="8" w:space="0" w:color="000000"/>
          <w:left w:val="nil"/>
          <w:bottom w:val="single" w:sz="8" w:space="0" w:color="000000"/>
          <w:right w:val="nil"/>
          <w:insideH w:val="nil"/>
          <w:insideV w:val="nil"/>
        </w:tblBorders>
        <w:tblLayout w:type="autofit"/>
        <w:tblCellMar>
          <w:top w:w="0" w:type="dxa"/>
          <w:left w:w="108" w:type="dxa"/>
          <w:bottom w:w="0" w:type="dxa"/>
          <w:right w:w="108" w:type="dxa"/>
        </w:tblCellMar>
        <w:tblLook w:firstRow="1" w:firstColumn="1" w:noVBand="1"/>
      </w:tblPr>
      <w:tblGrid>
        <w:gridCol w:w="3272"/>
        <w:gridCol w:w="1965"/>
        <w:gridCol w:w="1965"/>
        <w:gridCol w:w="1586"/>
      </w:tblGrid>
      <w:tr>
        <w:trPr>
          <w:cnfStyle w:val="100000000000"/>
        </w:trPr>
        <w:tc>
          <w:tcPr>
            <w:cnfStyle w:val="001000000000"/>
            <w:tcW w:w="3272" w:type="dxa"/>
            <w:tcBorders>
              <w:top w:val="single" w:sz="8" w:space="0" w:color="000000"/>
              <w:left w:val="nil"/>
              <w:bottom w:val="single" w:sz="8" w:space="0" w:color="000000"/>
              <w:right w:val="nil"/>
              <w:insideH w:val="nil"/>
              <w:insideV w:val="nil"/>
            </w:tcBorders>
            <w:tcMar>
              <w:top w:w="0" w:type="dxa"/>
              <w:left w:w="108" w:type="dxa"/>
              <w:bottom w:w="0" w:type="dxa"/>
              <w:right w:w="108" w:type="dxa"/>
            </w:tcMar>
            <w:vAlign w:val="center"/>
          </w:tcPr>
          <w:p w14:paraId="2DDBB39F">
            <w:pPr>
              <w:spacing w:before="0" w:after="0" w:line="276" w:lineRule="auto"/>
              <w:jc w:val="center"/>
              <w:rPr>
                <w:color w:val="000000"/>
              </w:rPr>
            </w:pPr>
            <w:r>
              <w:rPr>
                <w:rFonts w:ascii="Cambria" w:hAnsi="Cambria" w:eastAsia="ＭＳ 明朝" w:cs="Cambria" w:asciiTheme="minorHAnsi" w:hAnsiTheme="minorHAnsi" w:eastAsiaTheme="minorEastAsia"/>
                <w:b/>
                <w:bCs/>
                <w:color w:val="000000"/>
                <w:sz w:val="21"/>
                <w:szCs w:val="22"/>
              </w:rPr>
              <w:t>Characteristic</w:t>
            </w:r>
          </w:p>
        </w:tc>
        <w:tc>
          <w:tcPr>
            <w:tcW w:w="1965" w:type="dxa"/>
            <w:tcBorders>
              <w:top w:val="single" w:sz="8" w:space="0" w:color="000000"/>
              <w:left w:val="nil"/>
              <w:bottom w:val="single" w:sz="8" w:space="0" w:color="000000"/>
              <w:right w:val="nil"/>
              <w:insideH w:val="nil"/>
              <w:insideV w:val="nil"/>
            </w:tcBorders>
            <w:tcMar>
              <w:top w:w="0" w:type="dxa"/>
              <w:left w:w="108" w:type="dxa"/>
              <w:bottom w:w="0" w:type="dxa"/>
              <w:right w:w="108" w:type="dxa"/>
            </w:tcMar>
            <w:vAlign w:val="center"/>
          </w:tcPr>
          <w:p w14:paraId="2DC1B5B1">
            <w:pPr>
              <w:spacing w:before="0" w:after="0"/>
              <w:jc w:val="center"/>
              <w:rPr>
                <w:color w:val="000000"/>
              </w:rPr>
            </w:pPr>
            <w:r>
              <w:rPr>
                <w:rFonts w:ascii="Cambria" w:hAnsi="Cambria" w:eastAsia="ＭＳ 明朝" w:cs="Cambria" w:asciiTheme="minorHAnsi" w:hAnsiTheme="minorHAnsi" w:eastAsiaTheme="minorEastAsia"/>
                <w:b/>
                <w:bCs/>
                <w:color w:val="000000"/>
                <w:sz w:val="21"/>
                <w:szCs w:val="22"/>
              </w:rPr>
              <w:t>Internal cohort</w:t>
            </w:r>
            <w:r>
              <w:br w:type="textWrapping"/>
            </w:r>
            <w:r>
              <w:rPr>
                <w:rFonts w:ascii="Cambria" w:hAnsi="Cambria" w:eastAsia="ＭＳ 明朝" w:cs="Cambria" w:asciiTheme="minorHAnsi" w:hAnsiTheme="minorHAnsi" w:eastAsiaTheme="minorEastAsia"/>
                <w:b/>
                <w:bCs/>
                <w:color w:val="000000"/>
                <w:sz w:val="21"/>
                <w:szCs w:val="22"/>
              </w:rPr>
              <w:t>(n = 1,088)</w:t>
            </w:r>
          </w:p>
        </w:tc>
        <w:tc>
          <w:tcPr>
            <w:tcW w:w="1965" w:type="dxa"/>
            <w:tcBorders>
              <w:top w:val="single" w:sz="8" w:space="0" w:color="000000"/>
              <w:left w:val="nil"/>
              <w:bottom w:val="single" w:sz="8" w:space="0" w:color="000000"/>
              <w:right w:val="nil"/>
              <w:insideH w:val="nil"/>
              <w:insideV w:val="nil"/>
            </w:tcBorders>
            <w:tcMar>
              <w:top w:w="0" w:type="dxa"/>
              <w:left w:w="108" w:type="dxa"/>
              <w:bottom w:w="0" w:type="dxa"/>
              <w:right w:w="108" w:type="dxa"/>
            </w:tcMar>
            <w:vAlign w:val="center"/>
          </w:tcPr>
          <w:p w14:paraId="194429C5">
            <w:pPr>
              <w:spacing w:before="0" w:after="0"/>
              <w:jc w:val="center"/>
              <w:rPr>
                <w:color w:val="000000"/>
              </w:rPr>
            </w:pPr>
            <w:r>
              <w:rPr>
                <w:rFonts w:ascii="Cambria" w:hAnsi="Cambria" w:eastAsia="ＭＳ 明朝" w:cs="Cambria" w:asciiTheme="minorHAnsi" w:hAnsiTheme="minorHAnsi" w:eastAsiaTheme="minorEastAsia"/>
                <w:b/>
                <w:bCs/>
                <w:color w:val="000000"/>
                <w:sz w:val="21"/>
                <w:szCs w:val="22"/>
              </w:rPr>
              <w:t>External cohort</w:t>
            </w:r>
            <w:r>
              <w:br w:type="textWrapping"/>
            </w:r>
            <w:r>
              <w:rPr>
                <w:rFonts w:ascii="Cambria" w:hAnsi="Cambria" w:eastAsia="ＭＳ 明朝" w:cs="Cambria" w:asciiTheme="minorHAnsi" w:hAnsiTheme="minorHAnsi" w:eastAsiaTheme="minorEastAsia"/>
                <w:b/>
                <w:bCs/>
                <w:color w:val="000000"/>
                <w:sz w:val="21"/>
                <w:szCs w:val="22"/>
              </w:rPr>
              <w:t>(n = 925)</w:t>
            </w:r>
          </w:p>
        </w:tc>
        <w:tc>
          <w:tcPr>
            <w:tcW w:w="1586" w:type="dxa"/>
            <w:tcBorders>
              <w:top w:val="single" w:sz="8" w:space="0" w:color="000000"/>
              <w:left w:val="nil"/>
              <w:bottom w:val="single" w:sz="8" w:space="0" w:color="000000"/>
              <w:right w:val="nil"/>
              <w:insideH w:val="nil"/>
              <w:insideV w:val="nil"/>
            </w:tcBorders>
            <w:tcMar>
              <w:top w:w="0" w:type="dxa"/>
              <w:left w:w="108" w:type="dxa"/>
              <w:bottom w:w="0" w:type="dxa"/>
              <w:right w:w="108" w:type="dxa"/>
            </w:tcMar>
            <w:vAlign w:val="center"/>
          </w:tcPr>
          <w:p w14:paraId="1A15CE9C">
            <w:pPr>
              <w:spacing w:before="0" w:after="0"/>
              <w:jc w:val="center"/>
              <w:rPr>
                <w:color w:val="000000"/>
              </w:rPr>
            </w:pPr>
            <w:r>
              <w:rPr>
                <w:rFonts w:ascii="Cambria" w:hAnsi="Cambria" w:eastAsia="ＭＳ 明朝" w:cs="Cambria" w:asciiTheme="minorHAnsi" w:hAnsiTheme="minorHAnsi" w:eastAsiaTheme="minorEastAsia"/>
                <w:b/>
                <w:bCs/>
                <w:color w:val="000000"/>
                <w:sz w:val="21"/>
                <w:szCs w:val="22"/>
              </w:rPr>
              <w:t>p-value</w:t>
            </w:r>
          </w:p>
        </w:tc>
      </w:tr>
      <w:tr>
        <w:trPr>
          <w:cnfStyle w:val="000000100000"/>
        </w:trPr>
        <w:tc>
          <w:tcPr>
            <w:cnfStyle w:val="001000000000"/>
            <w:tcW w:w="3272" w:type="dxa"/>
            <w:tcBorders>
              <w:left w:val="nil"/>
              <w:right w:val="nil"/>
              <w:insideH w:val="nil"/>
              <w:insideV w:val="nil"/>
            </w:tcBorders>
            <w:shd w:val="clear"/>
            <w:tcMar>
              <w:top w:w="0" w:type="dxa"/>
              <w:left w:w="108" w:type="dxa"/>
              <w:bottom w:w="0" w:type="dxa"/>
              <w:right w:w="108" w:type="dxa"/>
            </w:tcMar>
            <w:vAlign w:val="center"/>
          </w:tcPr>
          <w:p w14:paraId="66A3C8AB">
            <w:pPr>
              <w:spacing w:before="0" w:after="0" w:line="276" w:lineRule="auto"/>
              <w:jc w:val="center"/>
              <w:rPr>
                <w:color w:val="000000"/>
              </w:rPr>
            </w:pPr>
            <w:r>
              <w:rPr>
                <w:rFonts w:ascii="Cambria" w:hAnsi="Cambria" w:eastAsia="ＭＳ 明朝" w:cs="Cambria" w:asciiTheme="minorHAnsi" w:hAnsiTheme="minorHAnsi" w:eastAsiaTheme="minorEastAsia"/>
                <w:b/>
                <w:bCs/>
                <w:color w:val="000000"/>
                <w:sz w:val="21"/>
                <w:szCs w:val="22"/>
              </w:rPr>
              <w:t>Demographics</w:t>
            </w:r>
          </w:p>
        </w:tc>
        <w:tc>
          <w:tcPr>
            <w:tcW w:w="1965" w:type="dxa"/>
            <w:tcBorders>
              <w:left w:val="nil"/>
              <w:right w:val="nil"/>
              <w:insideH w:val="nil"/>
              <w:insideV w:val="nil"/>
            </w:tcBorders>
            <w:shd w:val="clear"/>
            <w:tcMar>
              <w:top w:w="0" w:type="dxa"/>
              <w:left w:w="108" w:type="dxa"/>
              <w:bottom w:w="0" w:type="dxa"/>
              <w:right w:w="108" w:type="dxa"/>
            </w:tcMar>
            <w:vAlign w:val="center"/>
          </w:tcPr>
          <w:p w14:paraId="4441DEEE">
            <w:pPr>
              <w:spacing w:before="0" w:after="0" w:line="276" w:lineRule="auto"/>
              <w:jc w:val="center"/>
              <w:rPr>
                <w:color w:val="000000"/>
              </w:rPr>
            </w:pPr>
          </w:p>
        </w:tc>
        <w:tc>
          <w:tcPr>
            <w:tcW w:w="1965" w:type="dxa"/>
            <w:tcBorders>
              <w:left w:val="nil"/>
              <w:right w:val="nil"/>
              <w:insideH w:val="nil"/>
              <w:insideV w:val="nil"/>
            </w:tcBorders>
            <w:shd w:val="clear"/>
            <w:tcMar>
              <w:top w:w="0" w:type="dxa"/>
              <w:left w:w="108" w:type="dxa"/>
              <w:bottom w:w="0" w:type="dxa"/>
              <w:right w:w="108" w:type="dxa"/>
            </w:tcMar>
            <w:vAlign w:val="center"/>
          </w:tcPr>
          <w:p w14:paraId="002B33AA">
            <w:pPr>
              <w:spacing w:before="0" w:after="0" w:line="276" w:lineRule="auto"/>
              <w:jc w:val="center"/>
              <w:rPr>
                <w:color w:val="000000"/>
              </w:rPr>
            </w:pPr>
          </w:p>
        </w:tc>
        <w:tc>
          <w:tcPr>
            <w:tcW w:w="1586" w:type="dxa"/>
            <w:tcBorders>
              <w:left w:val="nil"/>
              <w:right w:val="nil"/>
              <w:insideH w:val="nil"/>
              <w:insideV w:val="nil"/>
            </w:tcBorders>
            <w:shd w:val="clear"/>
            <w:tcMar>
              <w:top w:w="0" w:type="dxa"/>
              <w:left w:w="108" w:type="dxa"/>
              <w:bottom w:w="0" w:type="dxa"/>
              <w:right w:w="108" w:type="dxa"/>
            </w:tcMar>
            <w:vAlign w:val="center"/>
          </w:tcPr>
          <w:p w14:paraId="4A5E2FE2">
            <w:pPr>
              <w:spacing w:before="0" w:after="0" w:line="276" w:lineRule="auto"/>
              <w:jc w:val="center"/>
              <w:rPr>
                <w:color w:val="000000"/>
              </w:rPr>
            </w:pPr>
          </w:p>
        </w:tc>
      </w:tr>
      <w:tr>
        <w:tc>
          <w:tcPr>
            <w:cnfStyle w:val="001000000000"/>
            <w:tcW w:w="3272" w:type="dxa"/>
            <w:tcMar>
              <w:top w:w="0" w:type="dxa"/>
              <w:left w:w="108" w:type="dxa"/>
              <w:bottom w:w="0" w:type="dxa"/>
              <w:right w:w="108" w:type="dxa"/>
            </w:tcMar>
            <w:vAlign w:val="center"/>
          </w:tcPr>
          <w:p w14:paraId="1B836F1E">
            <w:pPr>
              <w:spacing w:before="0" w:after="0" w:line="276" w:lineRule="auto"/>
              <w:jc w:val="center"/>
              <w:rPr>
                <w:color w:val="000000"/>
              </w:rPr>
            </w:pPr>
            <w:r>
              <w:rPr>
                <w:rFonts w:ascii="Cambria" w:hAnsi="Cambria" w:eastAsia="ＭＳ 明朝" w:cs="Cambria" w:asciiTheme="minorHAnsi" w:hAnsiTheme="minorHAnsi" w:eastAsiaTheme="minorEastAsia"/>
                <w:b/>
                <w:bCs/>
                <w:color w:val="000000"/>
                <w:sz w:val="21"/>
                <w:szCs w:val="22"/>
              </w:rPr>
              <w:t>Age, years, mean ± SD</w:t>
            </w:r>
          </w:p>
        </w:tc>
        <w:tc>
          <w:tcPr>
            <w:tcW w:w="1965" w:type="dxa"/>
            <w:tcMar>
              <w:top w:w="0" w:type="dxa"/>
              <w:left w:w="108" w:type="dxa"/>
              <w:bottom w:w="0" w:type="dxa"/>
              <w:right w:w="108" w:type="dxa"/>
            </w:tcMar>
            <w:vAlign w:val="center"/>
          </w:tcPr>
          <w:p w14:paraId="5887A5EE">
            <w:pPr>
              <w:spacing w:before="0" w:after="0"/>
              <w:jc w:val="center"/>
              <w:rPr>
                <w:color w:val="000000"/>
              </w:rPr>
            </w:pPr>
            <w:r>
              <w:rPr>
                <w:rFonts w:ascii="Cambria" w:hAnsi="Cambria" w:eastAsia="ＭＳ 明朝" w:cs="Cambria" w:asciiTheme="minorHAnsi" w:hAnsiTheme="minorHAnsi" w:eastAsiaTheme="minorEastAsia"/>
                <w:color w:val="000000"/>
                <w:sz w:val="21"/>
                <w:szCs w:val="22"/>
              </w:rPr>
              <w:t>57.1 ± 12.1</w:t>
            </w:r>
          </w:p>
        </w:tc>
        <w:tc>
          <w:tcPr>
            <w:tcW w:w="1965" w:type="dxa"/>
            <w:tcMar>
              <w:top w:w="0" w:type="dxa"/>
              <w:left w:w="108" w:type="dxa"/>
              <w:bottom w:w="0" w:type="dxa"/>
              <w:right w:w="108" w:type="dxa"/>
            </w:tcMar>
            <w:vAlign w:val="center"/>
          </w:tcPr>
          <w:p w14:paraId="273029ED">
            <w:pPr>
              <w:spacing w:before="0" w:after="0"/>
              <w:jc w:val="center"/>
              <w:rPr>
                <w:color w:val="000000"/>
              </w:rPr>
            </w:pPr>
            <w:r>
              <w:rPr>
                <w:rFonts w:ascii="Cambria" w:hAnsi="Cambria" w:eastAsia="ＭＳ 明朝" w:cs="Cambria" w:asciiTheme="minorHAnsi" w:hAnsiTheme="minorHAnsi" w:eastAsiaTheme="minorEastAsia"/>
                <w:color w:val="000000"/>
                <w:sz w:val="21"/>
                <w:szCs w:val="22"/>
              </w:rPr>
              <w:t>59.5 ± 12.7</w:t>
            </w:r>
          </w:p>
        </w:tc>
        <w:tc>
          <w:tcPr>
            <w:tcW w:w="1586" w:type="dxa"/>
            <w:tcMar>
              <w:top w:w="0" w:type="dxa"/>
              <w:left w:w="108" w:type="dxa"/>
              <w:bottom w:w="0" w:type="dxa"/>
              <w:right w:w="108" w:type="dxa"/>
            </w:tcMar>
            <w:vAlign w:val="center"/>
          </w:tcPr>
          <w:p w14:paraId="5200291D">
            <w:pPr>
              <w:spacing w:before="0" w:after="0"/>
              <w:jc w:val="center"/>
              <w:rPr>
                <w:color w:val="000000"/>
              </w:rPr>
            </w:pPr>
            <w:r>
              <w:rPr>
                <w:rFonts w:ascii="Cambria" w:hAnsi="Cambria" w:eastAsia="ＭＳ 明朝" w:cs="Cambria" w:asciiTheme="minorHAnsi" w:hAnsiTheme="minorHAnsi" w:eastAsiaTheme="minorEastAsia"/>
                <w:color w:val="000000"/>
                <w:sz w:val="21"/>
                <w:szCs w:val="22"/>
              </w:rPr>
              <w:t>&lt;0.001</w:t>
            </w:r>
          </w:p>
        </w:tc>
      </w:tr>
      <w:tr>
        <w:trPr>
          <w:cnfStyle w:val="000000100000"/>
        </w:trPr>
        <w:tc>
          <w:tcPr>
            <w:cnfStyle w:val="001000000000"/>
            <w:tcW w:w="3272" w:type="dxa"/>
            <w:tcBorders>
              <w:left w:val="nil"/>
              <w:right w:val="nil"/>
              <w:insideH w:val="nil"/>
              <w:insideV w:val="nil"/>
            </w:tcBorders>
            <w:shd w:val="clear"/>
            <w:tcMar>
              <w:top w:w="0" w:type="dxa"/>
              <w:left w:w="108" w:type="dxa"/>
              <w:bottom w:w="0" w:type="dxa"/>
              <w:right w:w="108" w:type="dxa"/>
            </w:tcMar>
            <w:vAlign w:val="center"/>
          </w:tcPr>
          <w:p w14:paraId="1EF3F3E7">
            <w:pPr>
              <w:spacing w:before="0" w:after="0" w:line="276" w:lineRule="auto"/>
              <w:jc w:val="center"/>
              <w:rPr>
                <w:color w:val="000000"/>
              </w:rPr>
            </w:pPr>
            <w:r>
              <w:rPr>
                <w:rFonts w:ascii="Cambria" w:hAnsi="Cambria" w:eastAsia="ＭＳ 明朝" w:cs="Cambria" w:asciiTheme="minorHAnsi" w:hAnsiTheme="minorHAnsi" w:eastAsiaTheme="minorEastAsia"/>
                <w:b/>
                <w:bCs/>
                <w:color w:val="000000"/>
                <w:sz w:val="21"/>
                <w:szCs w:val="22"/>
              </w:rPr>
              <w:t>Age, years, range</w:t>
            </w:r>
          </w:p>
        </w:tc>
        <w:tc>
          <w:tcPr>
            <w:tcW w:w="1965" w:type="dxa"/>
            <w:tcBorders>
              <w:left w:val="nil"/>
              <w:right w:val="nil"/>
              <w:insideH w:val="nil"/>
              <w:insideV w:val="nil"/>
            </w:tcBorders>
            <w:shd w:val="clear"/>
            <w:tcMar>
              <w:top w:w="0" w:type="dxa"/>
              <w:left w:w="108" w:type="dxa"/>
              <w:bottom w:w="0" w:type="dxa"/>
              <w:right w:w="108" w:type="dxa"/>
            </w:tcMar>
            <w:vAlign w:val="center"/>
          </w:tcPr>
          <w:p w14:paraId="18107A66">
            <w:pPr>
              <w:spacing w:before="0" w:after="0"/>
              <w:jc w:val="center"/>
              <w:rPr>
                <w:color w:val="000000"/>
              </w:rPr>
            </w:pPr>
            <w:r>
              <w:rPr>
                <w:rFonts w:ascii="Cambria" w:hAnsi="Cambria" w:eastAsia="ＭＳ 明朝" w:cs="Cambria" w:asciiTheme="minorHAnsi" w:hAnsiTheme="minorHAnsi" w:eastAsiaTheme="minorEastAsia"/>
                <w:color w:val="000000"/>
                <w:sz w:val="21"/>
                <w:szCs w:val="22"/>
              </w:rPr>
              <w:t>20–91</w:t>
            </w:r>
          </w:p>
        </w:tc>
        <w:tc>
          <w:tcPr>
            <w:tcW w:w="1965" w:type="dxa"/>
            <w:tcBorders>
              <w:left w:val="nil"/>
              <w:right w:val="nil"/>
              <w:insideH w:val="nil"/>
              <w:insideV w:val="nil"/>
            </w:tcBorders>
            <w:shd w:val="clear"/>
            <w:tcMar>
              <w:top w:w="0" w:type="dxa"/>
              <w:left w:w="108" w:type="dxa"/>
              <w:bottom w:w="0" w:type="dxa"/>
              <w:right w:w="108" w:type="dxa"/>
            </w:tcMar>
            <w:vAlign w:val="center"/>
          </w:tcPr>
          <w:p w14:paraId="6F5D1DB2">
            <w:pPr>
              <w:spacing w:before="0" w:after="0"/>
              <w:jc w:val="center"/>
              <w:rPr>
                <w:color w:val="000000"/>
              </w:rPr>
            </w:pPr>
            <w:r>
              <w:rPr>
                <w:rFonts w:ascii="Cambria" w:hAnsi="Cambria" w:eastAsia="ＭＳ 明朝" w:cs="Cambria" w:asciiTheme="minorHAnsi" w:hAnsiTheme="minorHAnsi" w:eastAsiaTheme="minorEastAsia"/>
                <w:color w:val="000000"/>
                <w:sz w:val="21"/>
                <w:szCs w:val="22"/>
              </w:rPr>
              <w:t>20–90</w:t>
            </w:r>
          </w:p>
        </w:tc>
        <w:tc>
          <w:tcPr>
            <w:tcW w:w="1586" w:type="dxa"/>
            <w:tcBorders>
              <w:left w:val="nil"/>
              <w:right w:val="nil"/>
              <w:insideH w:val="nil"/>
              <w:insideV w:val="nil"/>
            </w:tcBorders>
            <w:shd w:val="clear"/>
            <w:tcMar>
              <w:top w:w="0" w:type="dxa"/>
              <w:left w:w="108" w:type="dxa"/>
              <w:bottom w:w="0" w:type="dxa"/>
              <w:right w:w="108" w:type="dxa"/>
            </w:tcMar>
            <w:vAlign w:val="center"/>
          </w:tcPr>
          <w:p w14:paraId="228A40AD">
            <w:pPr>
              <w:spacing w:before="0" w:after="0"/>
              <w:jc w:val="center"/>
              <w:rPr>
                <w:color w:val="000000"/>
              </w:rPr>
            </w:pPr>
          </w:p>
        </w:tc>
      </w:tr>
      <w:tr>
        <w:tc>
          <w:tcPr>
            <w:cnfStyle w:val="001000000000"/>
            <w:tcW w:w="3272" w:type="dxa"/>
            <w:tcMar>
              <w:top w:w="0" w:type="dxa"/>
              <w:left w:w="108" w:type="dxa"/>
              <w:bottom w:w="0" w:type="dxa"/>
              <w:right w:w="108" w:type="dxa"/>
            </w:tcMar>
            <w:vAlign w:val="center"/>
          </w:tcPr>
          <w:p w14:paraId="29781F0C">
            <w:pPr>
              <w:spacing w:before="0" w:after="0" w:line="276" w:lineRule="auto"/>
              <w:jc w:val="center"/>
              <w:rPr>
                <w:color w:val="000000"/>
              </w:rPr>
            </w:pPr>
            <w:r>
              <w:rPr>
                <w:rFonts w:ascii="Cambria" w:hAnsi="Cambria" w:eastAsia="ＭＳ 明朝" w:cs="Cambria" w:asciiTheme="minorHAnsi" w:hAnsiTheme="minorHAnsi" w:eastAsiaTheme="minorEastAsia"/>
                <w:b/>
                <w:bCs/>
                <w:color w:val="000000"/>
                <w:sz w:val="21"/>
                <w:szCs w:val="22"/>
              </w:rPr>
              <w:t>Sex, n (%)</w:t>
            </w:r>
          </w:p>
        </w:tc>
        <w:tc>
          <w:tcPr>
            <w:tcW w:w="1965" w:type="dxa"/>
            <w:tcMar>
              <w:top w:w="0" w:type="dxa"/>
              <w:left w:w="108" w:type="dxa"/>
              <w:bottom w:w="0" w:type="dxa"/>
              <w:right w:w="108" w:type="dxa"/>
            </w:tcMar>
            <w:vAlign w:val="center"/>
          </w:tcPr>
          <w:p w14:paraId="29BF56B6">
            <w:pPr>
              <w:spacing w:before="0" w:after="0"/>
              <w:jc w:val="center"/>
              <w:rPr>
                <w:color w:val="000000"/>
              </w:rPr>
            </w:pPr>
          </w:p>
        </w:tc>
        <w:tc>
          <w:tcPr>
            <w:tcW w:w="1965" w:type="dxa"/>
            <w:tcMar>
              <w:top w:w="0" w:type="dxa"/>
              <w:left w:w="108" w:type="dxa"/>
              <w:bottom w:w="0" w:type="dxa"/>
              <w:right w:w="108" w:type="dxa"/>
            </w:tcMar>
            <w:vAlign w:val="center"/>
          </w:tcPr>
          <w:p w14:paraId="7546A4D5">
            <w:pPr>
              <w:spacing w:before="0" w:after="0"/>
              <w:jc w:val="center"/>
              <w:rPr>
                <w:color w:val="000000"/>
              </w:rPr>
            </w:pPr>
          </w:p>
        </w:tc>
        <w:tc>
          <w:tcPr>
            <w:tcW w:w="1586" w:type="dxa"/>
            <w:tcMar>
              <w:top w:w="0" w:type="dxa"/>
              <w:left w:w="108" w:type="dxa"/>
              <w:bottom w:w="0" w:type="dxa"/>
              <w:right w:w="108" w:type="dxa"/>
            </w:tcMar>
            <w:vAlign w:val="center"/>
          </w:tcPr>
          <w:p w14:paraId="3C85B7DD">
            <w:pPr>
              <w:spacing w:before="0" w:after="0"/>
              <w:jc w:val="center"/>
              <w:rPr>
                <w:color w:val="000000"/>
              </w:rPr>
            </w:pPr>
            <w:r>
              <w:rPr>
                <w:rFonts w:ascii="Cambria" w:hAnsi="Cambria" w:eastAsia="ＭＳ 明朝" w:cs="Cambria" w:asciiTheme="minorHAnsi" w:hAnsiTheme="minorHAnsi" w:eastAsiaTheme="minorEastAsia"/>
                <w:color w:val="000000"/>
                <w:sz w:val="21"/>
                <w:szCs w:val="22"/>
              </w:rPr>
              <w:t>&lt;0.001</w:t>
            </w:r>
          </w:p>
        </w:tc>
      </w:tr>
      <w:tr>
        <w:trPr>
          <w:cnfStyle w:val="000000100000"/>
        </w:trPr>
        <w:tc>
          <w:tcPr>
            <w:cnfStyle w:val="001000000000"/>
            <w:tcW w:w="3272" w:type="dxa"/>
            <w:tcBorders>
              <w:left w:val="nil"/>
              <w:right w:val="nil"/>
              <w:insideH w:val="nil"/>
              <w:insideV w:val="nil"/>
            </w:tcBorders>
            <w:shd w:val="clear"/>
            <w:tcMar>
              <w:top w:w="0" w:type="dxa"/>
              <w:left w:w="108" w:type="dxa"/>
              <w:bottom w:w="0" w:type="dxa"/>
              <w:right w:w="108" w:type="dxa"/>
            </w:tcMar>
            <w:vAlign w:val="center"/>
          </w:tcPr>
          <w:p w14:paraId="40C82AEA">
            <w:pPr>
              <w:spacing w:before="0" w:after="0" w:line="276" w:lineRule="auto"/>
              <w:jc w:val="center"/>
              <w:rPr>
                <w:color w:val="000000"/>
              </w:rPr>
            </w:pPr>
            <w:r>
              <w:rPr>
                <w:rFonts w:ascii="Cambria" w:hAnsi="Cambria" w:eastAsia="ＭＳ 明朝" w:cs="Cambria" w:asciiTheme="minorHAnsi" w:hAnsiTheme="minorHAnsi" w:eastAsiaTheme="minorEastAsia"/>
                <w:b/>
                <w:bCs/>
                <w:color w:val="000000"/>
                <w:sz w:val="21"/>
                <w:szCs w:val="22"/>
              </w:rPr>
              <w:t xml:space="preserve">    — F</w:t>
            </w:r>
          </w:p>
        </w:tc>
        <w:tc>
          <w:tcPr>
            <w:tcW w:w="1965" w:type="dxa"/>
            <w:tcBorders>
              <w:left w:val="nil"/>
              <w:right w:val="nil"/>
              <w:insideH w:val="nil"/>
              <w:insideV w:val="nil"/>
            </w:tcBorders>
            <w:shd w:val="clear"/>
            <w:tcMar>
              <w:top w:w="0" w:type="dxa"/>
              <w:left w:w="108" w:type="dxa"/>
              <w:bottom w:w="0" w:type="dxa"/>
              <w:right w:w="108" w:type="dxa"/>
            </w:tcMar>
            <w:vAlign w:val="center"/>
          </w:tcPr>
          <w:p w14:paraId="24BA12BF">
            <w:pPr>
              <w:spacing w:before="0" w:after="0"/>
              <w:jc w:val="center"/>
              <w:rPr>
                <w:color w:val="000000"/>
              </w:rPr>
            </w:pPr>
            <w:r>
              <w:rPr>
                <w:rFonts w:ascii="Cambria" w:hAnsi="Cambria" w:eastAsia="ＭＳ 明朝" w:cs="Cambria" w:asciiTheme="minorHAnsi" w:hAnsiTheme="minorHAnsi" w:eastAsiaTheme="minorEastAsia"/>
                <w:color w:val="000000"/>
                <w:sz w:val="21"/>
                <w:szCs w:val="22"/>
              </w:rPr>
              <w:t>698 (64.2%)</w:t>
            </w:r>
          </w:p>
        </w:tc>
        <w:tc>
          <w:tcPr>
            <w:tcW w:w="1965" w:type="dxa"/>
            <w:tcBorders>
              <w:left w:val="nil"/>
              <w:right w:val="nil"/>
              <w:insideH w:val="nil"/>
              <w:insideV w:val="nil"/>
            </w:tcBorders>
            <w:shd w:val="clear"/>
            <w:tcMar>
              <w:top w:w="0" w:type="dxa"/>
              <w:left w:w="108" w:type="dxa"/>
              <w:bottom w:w="0" w:type="dxa"/>
              <w:right w:w="108" w:type="dxa"/>
            </w:tcMar>
            <w:vAlign w:val="center"/>
          </w:tcPr>
          <w:p w14:paraId="0DBD975B">
            <w:pPr>
              <w:spacing w:before="0" w:after="0"/>
              <w:jc w:val="center"/>
              <w:rPr>
                <w:color w:val="000000"/>
              </w:rPr>
            </w:pPr>
            <w:r>
              <w:rPr>
                <w:rFonts w:ascii="Cambria" w:hAnsi="Cambria" w:eastAsia="ＭＳ 明朝" w:cs="Cambria" w:asciiTheme="minorHAnsi" w:hAnsiTheme="minorHAnsi" w:eastAsiaTheme="minorEastAsia"/>
                <w:color w:val="000000"/>
                <w:sz w:val="21"/>
                <w:szCs w:val="22"/>
              </w:rPr>
              <w:t>498 (53.8%)</w:t>
            </w:r>
          </w:p>
        </w:tc>
        <w:tc>
          <w:tcPr>
            <w:tcW w:w="1586" w:type="dxa"/>
            <w:tcBorders>
              <w:left w:val="nil"/>
              <w:right w:val="nil"/>
              <w:insideH w:val="nil"/>
              <w:insideV w:val="nil"/>
            </w:tcBorders>
            <w:shd w:val="clear"/>
            <w:tcMar>
              <w:top w:w="0" w:type="dxa"/>
              <w:left w:w="108" w:type="dxa"/>
              <w:bottom w:w="0" w:type="dxa"/>
              <w:right w:w="108" w:type="dxa"/>
            </w:tcMar>
            <w:vAlign w:val="center"/>
          </w:tcPr>
          <w:p w14:paraId="015280D0">
            <w:pPr>
              <w:spacing w:before="0" w:after="0"/>
              <w:jc w:val="center"/>
              <w:rPr>
                <w:color w:val="000000"/>
              </w:rPr>
            </w:pPr>
          </w:p>
        </w:tc>
      </w:tr>
      <w:tr>
        <w:tc>
          <w:tcPr>
            <w:cnfStyle w:val="001000000000"/>
            <w:tcW w:w="3272" w:type="dxa"/>
            <w:tcMar>
              <w:top w:w="0" w:type="dxa"/>
              <w:left w:w="108" w:type="dxa"/>
              <w:bottom w:w="0" w:type="dxa"/>
              <w:right w:w="108" w:type="dxa"/>
            </w:tcMar>
            <w:vAlign w:val="center"/>
          </w:tcPr>
          <w:p w14:paraId="09EC6ACD">
            <w:pPr>
              <w:spacing w:before="0" w:after="0" w:line="276" w:lineRule="auto"/>
              <w:jc w:val="center"/>
              <w:rPr>
                <w:color w:val="000000"/>
              </w:rPr>
            </w:pPr>
            <w:r>
              <w:rPr>
                <w:rFonts w:ascii="Cambria" w:hAnsi="Cambria" w:eastAsia="ＭＳ 明朝" w:cs="Cambria" w:asciiTheme="minorHAnsi" w:hAnsiTheme="minorHAnsi" w:eastAsiaTheme="minorEastAsia"/>
                <w:b/>
                <w:bCs/>
                <w:color w:val="000000"/>
                <w:sz w:val="21"/>
                <w:szCs w:val="22"/>
              </w:rPr>
              <w:t xml:space="preserve">    — M</w:t>
            </w:r>
          </w:p>
        </w:tc>
        <w:tc>
          <w:tcPr>
            <w:tcW w:w="1965" w:type="dxa"/>
            <w:tcMar>
              <w:top w:w="0" w:type="dxa"/>
              <w:left w:w="108" w:type="dxa"/>
              <w:bottom w:w="0" w:type="dxa"/>
              <w:right w:w="108" w:type="dxa"/>
            </w:tcMar>
            <w:vAlign w:val="center"/>
          </w:tcPr>
          <w:p w14:paraId="3D7AB16D">
            <w:pPr>
              <w:spacing w:before="0" w:after="0"/>
              <w:jc w:val="center"/>
              <w:rPr>
                <w:color w:val="000000"/>
              </w:rPr>
            </w:pPr>
            <w:r>
              <w:rPr>
                <w:rFonts w:ascii="Cambria" w:hAnsi="Cambria" w:eastAsia="ＭＳ 明朝" w:cs="Cambria" w:asciiTheme="minorHAnsi" w:hAnsiTheme="minorHAnsi" w:eastAsiaTheme="minorEastAsia"/>
                <w:color w:val="000000"/>
                <w:sz w:val="21"/>
                <w:szCs w:val="22"/>
              </w:rPr>
              <w:t>390 (35.8%)</w:t>
            </w:r>
          </w:p>
        </w:tc>
        <w:tc>
          <w:tcPr>
            <w:tcW w:w="1965" w:type="dxa"/>
            <w:tcMar>
              <w:top w:w="0" w:type="dxa"/>
              <w:left w:w="108" w:type="dxa"/>
              <w:bottom w:w="0" w:type="dxa"/>
              <w:right w:w="108" w:type="dxa"/>
            </w:tcMar>
            <w:vAlign w:val="center"/>
          </w:tcPr>
          <w:p w14:paraId="3FAE6CE6">
            <w:pPr>
              <w:spacing w:before="0" w:after="0"/>
              <w:jc w:val="center"/>
              <w:rPr>
                <w:color w:val="000000"/>
              </w:rPr>
            </w:pPr>
            <w:r>
              <w:rPr>
                <w:rFonts w:ascii="Cambria" w:hAnsi="Cambria" w:eastAsia="ＭＳ 明朝" w:cs="Cambria" w:asciiTheme="minorHAnsi" w:hAnsiTheme="minorHAnsi" w:eastAsiaTheme="minorEastAsia"/>
                <w:color w:val="000000"/>
                <w:sz w:val="21"/>
                <w:szCs w:val="22"/>
              </w:rPr>
              <w:t>427 (46.2%)</w:t>
            </w:r>
          </w:p>
        </w:tc>
        <w:tc>
          <w:tcPr>
            <w:tcW w:w="1586" w:type="dxa"/>
            <w:tcMar>
              <w:top w:w="0" w:type="dxa"/>
              <w:left w:w="108" w:type="dxa"/>
              <w:bottom w:w="0" w:type="dxa"/>
              <w:right w:w="108" w:type="dxa"/>
            </w:tcMar>
            <w:vAlign w:val="center"/>
          </w:tcPr>
          <w:p w14:paraId="09917EEE">
            <w:pPr>
              <w:spacing w:before="0" w:after="0"/>
              <w:jc w:val="center"/>
              <w:rPr>
                <w:color w:val="000000"/>
              </w:rPr>
            </w:pPr>
          </w:p>
        </w:tc>
      </w:tr>
      <w:tr>
        <w:trPr>
          <w:cnfStyle w:val="000000100000"/>
        </w:trPr>
        <w:tc>
          <w:tcPr>
            <w:cnfStyle w:val="001000000000"/>
            <w:tcW w:w="3272" w:type="dxa"/>
            <w:tcBorders>
              <w:left w:val="nil"/>
              <w:right w:val="nil"/>
              <w:insideH w:val="nil"/>
              <w:insideV w:val="nil"/>
            </w:tcBorders>
            <w:shd w:val="clear"/>
            <w:tcMar>
              <w:top w:w="0" w:type="dxa"/>
              <w:left w:w="108" w:type="dxa"/>
              <w:bottom w:w="0" w:type="dxa"/>
              <w:right w:w="108" w:type="dxa"/>
            </w:tcMar>
            <w:vAlign w:val="center"/>
          </w:tcPr>
          <w:p w14:paraId="57B7A61A">
            <w:pPr>
              <w:spacing w:before="0" w:after="0" w:line="276" w:lineRule="auto"/>
              <w:jc w:val="center"/>
              <w:rPr>
                <w:color w:val="000000"/>
              </w:rPr>
            </w:pPr>
            <w:r>
              <w:rPr>
                <w:rFonts w:ascii="Cambria" w:hAnsi="Cambria" w:eastAsia="ＭＳ 明朝" w:cs="Cambria" w:asciiTheme="minorHAnsi" w:hAnsiTheme="minorHAnsi" w:eastAsiaTheme="minorEastAsia"/>
                <w:b/>
                <w:bCs/>
                <w:color w:val="000000"/>
                <w:sz w:val="21"/>
                <w:szCs w:val="22"/>
              </w:rPr>
              <w:t>Anthropometry</w:t>
            </w:r>
          </w:p>
        </w:tc>
        <w:tc>
          <w:tcPr>
            <w:tcW w:w="1965" w:type="dxa"/>
            <w:tcBorders>
              <w:left w:val="nil"/>
              <w:right w:val="nil"/>
              <w:insideH w:val="nil"/>
              <w:insideV w:val="nil"/>
            </w:tcBorders>
            <w:shd w:val="clear"/>
            <w:tcMar>
              <w:top w:w="0" w:type="dxa"/>
              <w:left w:w="108" w:type="dxa"/>
              <w:bottom w:w="0" w:type="dxa"/>
              <w:right w:w="108" w:type="dxa"/>
            </w:tcMar>
            <w:vAlign w:val="center"/>
          </w:tcPr>
          <w:p w14:paraId="62F18954">
            <w:pPr>
              <w:spacing w:before="0" w:after="0" w:line="276" w:lineRule="auto"/>
              <w:jc w:val="center"/>
              <w:rPr>
                <w:color w:val="000000"/>
              </w:rPr>
            </w:pPr>
          </w:p>
        </w:tc>
        <w:tc>
          <w:tcPr>
            <w:tcW w:w="1965" w:type="dxa"/>
            <w:tcBorders>
              <w:left w:val="nil"/>
              <w:right w:val="nil"/>
              <w:insideH w:val="nil"/>
              <w:insideV w:val="nil"/>
            </w:tcBorders>
            <w:shd w:val="clear"/>
            <w:tcMar>
              <w:top w:w="0" w:type="dxa"/>
              <w:left w:w="108" w:type="dxa"/>
              <w:bottom w:w="0" w:type="dxa"/>
              <w:right w:w="108" w:type="dxa"/>
            </w:tcMar>
            <w:vAlign w:val="center"/>
          </w:tcPr>
          <w:p w14:paraId="1B8CE460">
            <w:pPr>
              <w:spacing w:before="0" w:after="0" w:line="276" w:lineRule="auto"/>
              <w:jc w:val="center"/>
              <w:rPr>
                <w:color w:val="000000"/>
              </w:rPr>
            </w:pPr>
          </w:p>
        </w:tc>
        <w:tc>
          <w:tcPr>
            <w:tcW w:w="1586" w:type="dxa"/>
            <w:tcBorders>
              <w:left w:val="nil"/>
              <w:right w:val="nil"/>
              <w:insideH w:val="nil"/>
              <w:insideV w:val="nil"/>
            </w:tcBorders>
            <w:shd w:val="clear"/>
            <w:tcMar>
              <w:top w:w="0" w:type="dxa"/>
              <w:left w:w="108" w:type="dxa"/>
              <w:bottom w:w="0" w:type="dxa"/>
              <w:right w:w="108" w:type="dxa"/>
            </w:tcMar>
            <w:vAlign w:val="center"/>
          </w:tcPr>
          <w:p w14:paraId="39E968FD">
            <w:pPr>
              <w:spacing w:before="0" w:after="0" w:line="276" w:lineRule="auto"/>
              <w:jc w:val="center"/>
              <w:rPr>
                <w:color w:val="000000"/>
              </w:rPr>
            </w:pPr>
          </w:p>
        </w:tc>
      </w:tr>
      <w:tr>
        <w:tc>
          <w:tcPr>
            <w:cnfStyle w:val="001000000000"/>
            <w:tcW w:w="3272" w:type="dxa"/>
            <w:tcMar>
              <w:top w:w="0" w:type="dxa"/>
              <w:left w:w="108" w:type="dxa"/>
              <w:bottom w:w="0" w:type="dxa"/>
              <w:right w:w="108" w:type="dxa"/>
            </w:tcMar>
            <w:vAlign w:val="center"/>
          </w:tcPr>
          <w:p w14:paraId="5501C86A">
            <w:pPr>
              <w:spacing w:before="0" w:after="0" w:line="276" w:lineRule="auto"/>
              <w:jc w:val="center"/>
              <w:rPr>
                <w:color w:val="000000"/>
              </w:rPr>
            </w:pPr>
            <w:r>
              <w:rPr>
                <w:rFonts w:ascii="Cambria" w:hAnsi="Cambria" w:eastAsia="ＭＳ 明朝" w:cs="Cambria" w:asciiTheme="minorHAnsi" w:hAnsiTheme="minorHAnsi" w:eastAsiaTheme="minorEastAsia"/>
                <w:b/>
                <w:bCs/>
                <w:color w:val="000000"/>
                <w:sz w:val="21"/>
                <w:szCs w:val="22"/>
              </w:rPr>
              <w:t>Height, cm, mean ± SD</w:t>
            </w:r>
          </w:p>
        </w:tc>
        <w:tc>
          <w:tcPr>
            <w:tcW w:w="1965" w:type="dxa"/>
            <w:tcMar>
              <w:top w:w="0" w:type="dxa"/>
              <w:left w:w="108" w:type="dxa"/>
              <w:bottom w:w="0" w:type="dxa"/>
              <w:right w:w="108" w:type="dxa"/>
            </w:tcMar>
            <w:vAlign w:val="center"/>
          </w:tcPr>
          <w:p w14:paraId="3965C83E">
            <w:pPr>
              <w:spacing w:before="0" w:after="0"/>
              <w:jc w:val="center"/>
              <w:rPr>
                <w:color w:val="000000"/>
              </w:rPr>
            </w:pPr>
            <w:r>
              <w:rPr>
                <w:rFonts w:ascii="Cambria" w:hAnsi="Cambria" w:eastAsia="ＭＳ 明朝" w:cs="Cambria" w:asciiTheme="minorHAnsi" w:hAnsiTheme="minorHAnsi" w:eastAsiaTheme="minorEastAsia"/>
                <w:color w:val="000000"/>
                <w:sz w:val="21"/>
                <w:szCs w:val="22"/>
              </w:rPr>
              <w:t>162.2 ± 8.2</w:t>
            </w:r>
          </w:p>
        </w:tc>
        <w:tc>
          <w:tcPr>
            <w:tcW w:w="1965" w:type="dxa"/>
            <w:tcMar>
              <w:top w:w="0" w:type="dxa"/>
              <w:left w:w="108" w:type="dxa"/>
              <w:bottom w:w="0" w:type="dxa"/>
              <w:right w:w="108" w:type="dxa"/>
            </w:tcMar>
            <w:vAlign w:val="center"/>
          </w:tcPr>
          <w:p w14:paraId="08F9B1A8">
            <w:pPr>
              <w:spacing w:before="0" w:after="0"/>
              <w:jc w:val="center"/>
              <w:rPr>
                <w:color w:val="000000"/>
              </w:rPr>
            </w:pPr>
            <w:r>
              <w:rPr>
                <w:rFonts w:ascii="Cambria" w:hAnsi="Cambria" w:eastAsia="ＭＳ 明朝" w:cs="Cambria" w:asciiTheme="minorHAnsi" w:hAnsiTheme="minorHAnsi" w:eastAsiaTheme="minorEastAsia"/>
                <w:color w:val="000000"/>
                <w:sz w:val="21"/>
                <w:szCs w:val="22"/>
              </w:rPr>
              <w:t>162.5 ± 8.6</w:t>
            </w:r>
          </w:p>
        </w:tc>
        <w:tc>
          <w:tcPr>
            <w:tcW w:w="1586" w:type="dxa"/>
            <w:tcMar>
              <w:top w:w="0" w:type="dxa"/>
              <w:left w:w="108" w:type="dxa"/>
              <w:bottom w:w="0" w:type="dxa"/>
              <w:right w:w="108" w:type="dxa"/>
            </w:tcMar>
            <w:vAlign w:val="center"/>
          </w:tcPr>
          <w:p w14:paraId="455768CA">
            <w:pPr>
              <w:spacing w:before="0" w:after="0"/>
              <w:jc w:val="center"/>
              <w:rPr>
                <w:color w:val="000000"/>
              </w:rPr>
            </w:pPr>
            <w:r>
              <w:rPr>
                <w:rFonts w:ascii="Cambria" w:hAnsi="Cambria" w:eastAsia="ＭＳ 明朝" w:cs="Cambria" w:asciiTheme="minorHAnsi" w:hAnsiTheme="minorHAnsi" w:eastAsiaTheme="minorEastAsia"/>
                <w:color w:val="000000"/>
                <w:sz w:val="21"/>
                <w:szCs w:val="22"/>
              </w:rPr>
              <w:t>0.414</w:t>
            </w:r>
          </w:p>
        </w:tc>
      </w:tr>
      <w:tr>
        <w:trPr>
          <w:cnfStyle w:val="000000100000"/>
        </w:trPr>
        <w:tc>
          <w:tcPr>
            <w:cnfStyle w:val="001000000000"/>
            <w:tcW w:w="3272" w:type="dxa"/>
            <w:tcBorders>
              <w:left w:val="nil"/>
              <w:right w:val="nil"/>
              <w:insideH w:val="nil"/>
              <w:insideV w:val="nil"/>
            </w:tcBorders>
            <w:shd w:val="clear"/>
            <w:tcMar>
              <w:top w:w="0" w:type="dxa"/>
              <w:left w:w="108" w:type="dxa"/>
              <w:bottom w:w="0" w:type="dxa"/>
              <w:right w:w="108" w:type="dxa"/>
            </w:tcMar>
            <w:vAlign w:val="center"/>
          </w:tcPr>
          <w:p w14:paraId="74F0E980">
            <w:pPr>
              <w:spacing w:before="0" w:after="0" w:line="276" w:lineRule="auto"/>
              <w:jc w:val="center"/>
              <w:rPr>
                <w:color w:val="000000"/>
              </w:rPr>
            </w:pPr>
            <w:r>
              <w:rPr>
                <w:rFonts w:ascii="Cambria" w:hAnsi="Cambria" w:eastAsia="ＭＳ 明朝" w:cs="Cambria" w:asciiTheme="minorHAnsi" w:hAnsiTheme="minorHAnsi" w:eastAsiaTheme="minorEastAsia"/>
                <w:b/>
                <w:bCs/>
                <w:color w:val="000000"/>
                <w:sz w:val="21"/>
                <w:szCs w:val="22"/>
              </w:rPr>
              <w:t>Weight, kg, mean ± SD</w:t>
            </w:r>
          </w:p>
        </w:tc>
        <w:tc>
          <w:tcPr>
            <w:tcW w:w="1965" w:type="dxa"/>
            <w:tcBorders>
              <w:left w:val="nil"/>
              <w:right w:val="nil"/>
              <w:insideH w:val="nil"/>
              <w:insideV w:val="nil"/>
            </w:tcBorders>
            <w:shd w:val="clear"/>
            <w:tcMar>
              <w:top w:w="0" w:type="dxa"/>
              <w:left w:w="108" w:type="dxa"/>
              <w:bottom w:w="0" w:type="dxa"/>
              <w:right w:w="108" w:type="dxa"/>
            </w:tcMar>
            <w:vAlign w:val="center"/>
          </w:tcPr>
          <w:p w14:paraId="0047FCC7">
            <w:pPr>
              <w:spacing w:before="0" w:after="0"/>
              <w:jc w:val="center"/>
              <w:rPr>
                <w:color w:val="000000"/>
              </w:rPr>
            </w:pPr>
            <w:r>
              <w:rPr>
                <w:rFonts w:ascii="Cambria" w:hAnsi="Cambria" w:eastAsia="ＭＳ 明朝" w:cs="Cambria" w:asciiTheme="minorHAnsi" w:hAnsiTheme="minorHAnsi" w:eastAsiaTheme="minorEastAsia"/>
                <w:color w:val="000000"/>
                <w:sz w:val="21"/>
                <w:szCs w:val="22"/>
              </w:rPr>
              <w:t>61.9 ± 10.6</w:t>
            </w:r>
          </w:p>
        </w:tc>
        <w:tc>
          <w:tcPr>
            <w:tcW w:w="1965" w:type="dxa"/>
            <w:tcBorders>
              <w:left w:val="nil"/>
              <w:right w:val="nil"/>
              <w:insideH w:val="nil"/>
              <w:insideV w:val="nil"/>
            </w:tcBorders>
            <w:shd w:val="clear"/>
            <w:tcMar>
              <w:top w:w="0" w:type="dxa"/>
              <w:left w:w="108" w:type="dxa"/>
              <w:bottom w:w="0" w:type="dxa"/>
              <w:right w:w="108" w:type="dxa"/>
            </w:tcMar>
            <w:vAlign w:val="center"/>
          </w:tcPr>
          <w:p w14:paraId="6617B02F">
            <w:pPr>
              <w:spacing w:before="0" w:after="0"/>
              <w:jc w:val="center"/>
              <w:rPr>
                <w:color w:val="000000"/>
              </w:rPr>
            </w:pPr>
            <w:r>
              <w:rPr>
                <w:rFonts w:ascii="Cambria" w:hAnsi="Cambria" w:eastAsia="ＭＳ 明朝" w:cs="Cambria" w:asciiTheme="minorHAnsi" w:hAnsiTheme="minorHAnsi" w:eastAsiaTheme="minorEastAsia"/>
                <w:color w:val="000000"/>
                <w:sz w:val="21"/>
                <w:szCs w:val="22"/>
              </w:rPr>
              <w:t>61.8 ± 11.4</w:t>
            </w:r>
          </w:p>
        </w:tc>
        <w:tc>
          <w:tcPr>
            <w:tcW w:w="1586" w:type="dxa"/>
            <w:tcBorders>
              <w:left w:val="nil"/>
              <w:right w:val="nil"/>
              <w:insideH w:val="nil"/>
              <w:insideV w:val="nil"/>
            </w:tcBorders>
            <w:shd w:val="clear"/>
            <w:tcMar>
              <w:top w:w="0" w:type="dxa"/>
              <w:left w:w="108" w:type="dxa"/>
              <w:bottom w:w="0" w:type="dxa"/>
              <w:right w:w="108" w:type="dxa"/>
            </w:tcMar>
            <w:vAlign w:val="center"/>
          </w:tcPr>
          <w:p w14:paraId="6127C465">
            <w:pPr>
              <w:spacing w:before="0" w:after="0"/>
              <w:jc w:val="center"/>
              <w:rPr>
                <w:color w:val="000000"/>
              </w:rPr>
            </w:pPr>
            <w:r>
              <w:rPr>
                <w:rFonts w:ascii="Cambria" w:hAnsi="Cambria" w:eastAsia="ＭＳ 明朝" w:cs="Cambria" w:asciiTheme="minorHAnsi" w:hAnsiTheme="minorHAnsi" w:eastAsiaTheme="minorEastAsia"/>
                <w:color w:val="000000"/>
                <w:sz w:val="21"/>
                <w:szCs w:val="22"/>
              </w:rPr>
              <w:t>0.843</w:t>
            </w:r>
          </w:p>
        </w:tc>
      </w:tr>
      <w:tr>
        <w:tc>
          <w:tcPr>
            <w:cnfStyle w:val="001000000000"/>
            <w:tcW w:w="3272" w:type="dxa"/>
            <w:tcMar>
              <w:top w:w="0" w:type="dxa"/>
              <w:left w:w="108" w:type="dxa"/>
              <w:bottom w:w="0" w:type="dxa"/>
              <w:right w:w="108" w:type="dxa"/>
            </w:tcMar>
            <w:vAlign w:val="center"/>
          </w:tcPr>
          <w:p w14:paraId="6DABA908">
            <w:pPr>
              <w:spacing w:before="0" w:after="0" w:line="276" w:lineRule="auto"/>
              <w:jc w:val="center"/>
              <w:rPr>
                <w:color w:val="000000"/>
              </w:rPr>
            </w:pPr>
            <w:r>
              <w:rPr>
                <w:rFonts w:ascii="Cambria" w:hAnsi="Cambria" w:eastAsia="ＭＳ 明朝" w:cs="Cambria" w:asciiTheme="minorHAnsi" w:hAnsiTheme="minorHAnsi" w:eastAsiaTheme="minorEastAsia"/>
                <w:b/>
                <w:bCs/>
                <w:color w:val="000000"/>
                <w:sz w:val="21"/>
                <w:szCs w:val="22"/>
              </w:rPr>
              <w:t>BMI, kg/m², mean ± SD</w:t>
            </w:r>
          </w:p>
        </w:tc>
        <w:tc>
          <w:tcPr>
            <w:tcW w:w="1965" w:type="dxa"/>
            <w:tcMar>
              <w:top w:w="0" w:type="dxa"/>
              <w:left w:w="108" w:type="dxa"/>
              <w:bottom w:w="0" w:type="dxa"/>
              <w:right w:w="108" w:type="dxa"/>
            </w:tcMar>
            <w:vAlign w:val="center"/>
          </w:tcPr>
          <w:p w14:paraId="194BCC1D">
            <w:pPr>
              <w:spacing w:before="0" w:after="0"/>
              <w:jc w:val="center"/>
              <w:rPr>
                <w:color w:val="000000"/>
              </w:rPr>
            </w:pPr>
            <w:r>
              <w:rPr>
                <w:rFonts w:ascii="Cambria" w:hAnsi="Cambria" w:eastAsia="ＭＳ 明朝" w:cs="Cambria" w:asciiTheme="minorHAnsi" w:hAnsiTheme="minorHAnsi" w:eastAsiaTheme="minorEastAsia"/>
                <w:color w:val="000000"/>
                <w:sz w:val="21"/>
                <w:szCs w:val="22"/>
              </w:rPr>
              <w:t>23.5 ± 3.1</w:t>
            </w:r>
          </w:p>
        </w:tc>
        <w:tc>
          <w:tcPr>
            <w:tcW w:w="1965" w:type="dxa"/>
            <w:tcMar>
              <w:top w:w="0" w:type="dxa"/>
              <w:left w:w="108" w:type="dxa"/>
              <w:bottom w:w="0" w:type="dxa"/>
              <w:right w:w="108" w:type="dxa"/>
            </w:tcMar>
            <w:vAlign w:val="center"/>
          </w:tcPr>
          <w:p w14:paraId="0DD869C5">
            <w:pPr>
              <w:spacing w:before="0" w:after="0"/>
              <w:jc w:val="center"/>
              <w:rPr>
                <w:color w:val="000000"/>
              </w:rPr>
            </w:pPr>
            <w:r>
              <w:rPr>
                <w:rFonts w:ascii="Cambria" w:hAnsi="Cambria" w:eastAsia="ＭＳ 明朝" w:cs="Cambria" w:asciiTheme="minorHAnsi" w:hAnsiTheme="minorHAnsi" w:eastAsiaTheme="minorEastAsia"/>
                <w:color w:val="000000"/>
                <w:sz w:val="21"/>
                <w:szCs w:val="22"/>
              </w:rPr>
              <w:t>23.3 ± 3.4</w:t>
            </w:r>
          </w:p>
        </w:tc>
        <w:tc>
          <w:tcPr>
            <w:tcW w:w="1586" w:type="dxa"/>
            <w:tcMar>
              <w:top w:w="0" w:type="dxa"/>
              <w:left w:w="108" w:type="dxa"/>
              <w:bottom w:w="0" w:type="dxa"/>
              <w:right w:w="108" w:type="dxa"/>
            </w:tcMar>
            <w:vAlign w:val="center"/>
          </w:tcPr>
          <w:p w14:paraId="642CE5DF">
            <w:pPr>
              <w:spacing w:before="0" w:after="0"/>
              <w:jc w:val="center"/>
              <w:rPr>
                <w:color w:val="000000"/>
              </w:rPr>
            </w:pPr>
            <w:r>
              <w:rPr>
                <w:rFonts w:ascii="Cambria" w:hAnsi="Cambria" w:eastAsia="ＭＳ 明朝" w:cs="Cambria" w:asciiTheme="minorHAnsi" w:hAnsiTheme="minorHAnsi" w:eastAsiaTheme="minorEastAsia"/>
                <w:color w:val="000000"/>
                <w:sz w:val="21"/>
                <w:szCs w:val="22"/>
              </w:rPr>
              <w:t>0.353</w:t>
            </w:r>
          </w:p>
        </w:tc>
      </w:tr>
      <w:tr>
        <w:trPr>
          <w:cnfStyle w:val="000000100000"/>
        </w:trPr>
        <w:tc>
          <w:tcPr>
            <w:cnfStyle w:val="001000000000"/>
            <w:tcW w:w="3272" w:type="dxa"/>
            <w:tcBorders>
              <w:left w:val="nil"/>
              <w:right w:val="nil"/>
              <w:insideH w:val="nil"/>
              <w:insideV w:val="nil"/>
            </w:tcBorders>
            <w:shd w:val="clear"/>
            <w:tcMar>
              <w:top w:w="0" w:type="dxa"/>
              <w:left w:w="108" w:type="dxa"/>
              <w:bottom w:w="0" w:type="dxa"/>
              <w:right w:w="108" w:type="dxa"/>
            </w:tcMar>
            <w:vAlign w:val="center"/>
          </w:tcPr>
          <w:p w14:paraId="67DA274A">
            <w:pPr>
              <w:spacing w:before="0" w:after="0" w:line="276" w:lineRule="auto"/>
              <w:jc w:val="center"/>
              <w:rPr>
                <w:color w:val="000000"/>
              </w:rPr>
            </w:pPr>
            <w:r>
              <w:rPr>
                <w:rFonts w:ascii="Cambria" w:hAnsi="Cambria" w:eastAsia="ＭＳ 明朝" w:cs="Cambria" w:asciiTheme="minorHAnsi" w:hAnsiTheme="minorHAnsi" w:eastAsiaTheme="minorEastAsia"/>
                <w:b/>
                <w:bCs/>
                <w:color w:val="000000"/>
                <w:sz w:val="21"/>
                <w:szCs w:val="22"/>
              </w:rPr>
              <w:t>Comorbidities</w:t>
            </w:r>
          </w:p>
        </w:tc>
        <w:tc>
          <w:tcPr>
            <w:tcW w:w="1965" w:type="dxa"/>
            <w:tcBorders>
              <w:left w:val="nil"/>
              <w:right w:val="nil"/>
              <w:insideH w:val="nil"/>
              <w:insideV w:val="nil"/>
            </w:tcBorders>
            <w:shd w:val="clear"/>
            <w:tcMar>
              <w:top w:w="0" w:type="dxa"/>
              <w:left w:w="108" w:type="dxa"/>
              <w:bottom w:w="0" w:type="dxa"/>
              <w:right w:w="108" w:type="dxa"/>
            </w:tcMar>
            <w:vAlign w:val="center"/>
          </w:tcPr>
          <w:p w14:paraId="1D8EE12B">
            <w:pPr>
              <w:spacing w:before="0" w:after="0" w:line="276" w:lineRule="auto"/>
              <w:jc w:val="center"/>
              <w:rPr>
                <w:color w:val="000000"/>
              </w:rPr>
            </w:pPr>
          </w:p>
        </w:tc>
        <w:tc>
          <w:tcPr>
            <w:tcW w:w="1965" w:type="dxa"/>
            <w:tcBorders>
              <w:left w:val="nil"/>
              <w:right w:val="nil"/>
              <w:insideH w:val="nil"/>
              <w:insideV w:val="nil"/>
            </w:tcBorders>
            <w:shd w:val="clear"/>
            <w:tcMar>
              <w:top w:w="0" w:type="dxa"/>
              <w:left w:w="108" w:type="dxa"/>
              <w:bottom w:w="0" w:type="dxa"/>
              <w:right w:w="108" w:type="dxa"/>
            </w:tcMar>
            <w:vAlign w:val="center"/>
          </w:tcPr>
          <w:p w14:paraId="1FC77DB3">
            <w:pPr>
              <w:spacing w:before="0" w:after="0" w:line="276" w:lineRule="auto"/>
              <w:jc w:val="center"/>
              <w:rPr>
                <w:color w:val="000000"/>
              </w:rPr>
            </w:pPr>
          </w:p>
        </w:tc>
        <w:tc>
          <w:tcPr>
            <w:tcW w:w="1586" w:type="dxa"/>
            <w:tcBorders>
              <w:left w:val="nil"/>
              <w:right w:val="nil"/>
              <w:insideH w:val="nil"/>
              <w:insideV w:val="nil"/>
            </w:tcBorders>
            <w:shd w:val="clear"/>
            <w:tcMar>
              <w:top w:w="0" w:type="dxa"/>
              <w:left w:w="108" w:type="dxa"/>
              <w:bottom w:w="0" w:type="dxa"/>
              <w:right w:w="108" w:type="dxa"/>
            </w:tcMar>
            <w:vAlign w:val="center"/>
          </w:tcPr>
          <w:p w14:paraId="59F509CE">
            <w:pPr>
              <w:spacing w:before="0" w:after="0" w:line="276" w:lineRule="auto"/>
              <w:jc w:val="center"/>
              <w:rPr>
                <w:color w:val="000000"/>
              </w:rPr>
            </w:pPr>
          </w:p>
        </w:tc>
      </w:tr>
      <w:tr>
        <w:tc>
          <w:tcPr>
            <w:cnfStyle w:val="001000000000"/>
            <w:tcW w:w="3272" w:type="dxa"/>
            <w:tcMar>
              <w:top w:w="0" w:type="dxa"/>
              <w:left w:w="108" w:type="dxa"/>
              <w:bottom w:w="0" w:type="dxa"/>
              <w:right w:w="108" w:type="dxa"/>
            </w:tcMar>
            <w:vAlign w:val="center"/>
          </w:tcPr>
          <w:p w14:paraId="37A33CFA">
            <w:pPr>
              <w:spacing w:before="0" w:after="0" w:line="276" w:lineRule="auto"/>
              <w:jc w:val="center"/>
              <w:rPr>
                <w:color w:val="000000"/>
              </w:rPr>
            </w:pPr>
            <w:r>
              <w:rPr>
                <w:rFonts w:ascii="Cambria" w:hAnsi="Cambria" w:eastAsia="ＭＳ 明朝" w:cs="Cambria" w:asciiTheme="minorHAnsi" w:hAnsiTheme="minorHAnsi" w:eastAsiaTheme="minorEastAsia"/>
                <w:b/>
                <w:bCs/>
                <w:color w:val="000000"/>
                <w:sz w:val="21"/>
                <w:szCs w:val="22"/>
              </w:rPr>
              <w:t>Hypertension, n (%)</w:t>
            </w:r>
          </w:p>
        </w:tc>
        <w:tc>
          <w:tcPr>
            <w:tcW w:w="1965" w:type="dxa"/>
            <w:tcMar>
              <w:top w:w="0" w:type="dxa"/>
              <w:left w:w="108" w:type="dxa"/>
              <w:bottom w:w="0" w:type="dxa"/>
              <w:right w:w="108" w:type="dxa"/>
            </w:tcMar>
            <w:vAlign w:val="center"/>
          </w:tcPr>
          <w:p w14:paraId="12C91872">
            <w:pPr>
              <w:spacing w:before="0" w:after="0"/>
              <w:jc w:val="center"/>
              <w:rPr>
                <w:color w:val="000000"/>
              </w:rPr>
            </w:pPr>
            <w:r>
              <w:rPr>
                <w:rFonts w:ascii="Cambria" w:hAnsi="Cambria" w:eastAsia="ＭＳ 明朝" w:cs="Cambria" w:asciiTheme="minorHAnsi" w:hAnsiTheme="minorHAnsi" w:eastAsiaTheme="minorEastAsia"/>
                <w:color w:val="000000"/>
                <w:sz w:val="21"/>
                <w:szCs w:val="22"/>
              </w:rPr>
              <w:t>329 (30.2%)</w:t>
            </w:r>
          </w:p>
        </w:tc>
        <w:tc>
          <w:tcPr>
            <w:tcW w:w="1965" w:type="dxa"/>
            <w:tcMar>
              <w:top w:w="0" w:type="dxa"/>
              <w:left w:w="108" w:type="dxa"/>
              <w:bottom w:w="0" w:type="dxa"/>
              <w:right w:w="108" w:type="dxa"/>
            </w:tcMar>
            <w:vAlign w:val="center"/>
          </w:tcPr>
          <w:p w14:paraId="1ACDF97D">
            <w:pPr>
              <w:spacing w:before="0" w:after="0"/>
              <w:jc w:val="center"/>
              <w:rPr>
                <w:color w:val="000000"/>
              </w:rPr>
            </w:pPr>
            <w:r>
              <w:rPr>
                <w:rFonts w:ascii="Cambria" w:hAnsi="Cambria" w:eastAsia="ＭＳ 明朝" w:cs="Cambria" w:asciiTheme="minorHAnsi" w:hAnsiTheme="minorHAnsi" w:eastAsiaTheme="minorEastAsia"/>
                <w:color w:val="000000"/>
                <w:sz w:val="21"/>
                <w:szCs w:val="22"/>
              </w:rPr>
              <w:t>425 (45.9%)</w:t>
            </w:r>
          </w:p>
        </w:tc>
        <w:tc>
          <w:tcPr>
            <w:tcW w:w="1586" w:type="dxa"/>
            <w:tcMar>
              <w:top w:w="0" w:type="dxa"/>
              <w:left w:w="108" w:type="dxa"/>
              <w:bottom w:w="0" w:type="dxa"/>
              <w:right w:w="108" w:type="dxa"/>
            </w:tcMar>
            <w:vAlign w:val="center"/>
          </w:tcPr>
          <w:p w14:paraId="6D46BEAF">
            <w:pPr>
              <w:spacing w:before="0" w:after="0"/>
              <w:jc w:val="center"/>
              <w:rPr>
                <w:color w:val="000000"/>
              </w:rPr>
            </w:pPr>
            <w:r>
              <w:rPr>
                <w:rFonts w:ascii="Cambria" w:hAnsi="Cambria" w:eastAsia="ＭＳ 明朝" w:cs="Cambria" w:asciiTheme="minorHAnsi" w:hAnsiTheme="minorHAnsi" w:eastAsiaTheme="minorEastAsia"/>
                <w:color w:val="000000"/>
                <w:sz w:val="21"/>
                <w:szCs w:val="22"/>
              </w:rPr>
              <w:t>&lt;0.001</w:t>
            </w:r>
          </w:p>
        </w:tc>
      </w:tr>
      <w:tr>
        <w:trPr>
          <w:cnfStyle w:val="000000100000"/>
        </w:trPr>
        <w:tc>
          <w:tcPr>
            <w:cnfStyle w:val="001000000000"/>
            <w:tcW w:w="3272" w:type="dxa"/>
            <w:tcBorders>
              <w:left w:val="nil"/>
              <w:right w:val="nil"/>
              <w:insideH w:val="nil"/>
              <w:insideV w:val="nil"/>
            </w:tcBorders>
            <w:shd w:val="clear"/>
            <w:tcMar>
              <w:top w:w="0" w:type="dxa"/>
              <w:left w:w="108" w:type="dxa"/>
              <w:bottom w:w="0" w:type="dxa"/>
              <w:right w:w="108" w:type="dxa"/>
            </w:tcMar>
            <w:vAlign w:val="center"/>
          </w:tcPr>
          <w:p w14:paraId="5C840FF3">
            <w:pPr>
              <w:spacing w:before="0" w:after="0" w:line="276" w:lineRule="auto"/>
              <w:jc w:val="center"/>
              <w:rPr>
                <w:color w:val="000000"/>
              </w:rPr>
            </w:pPr>
            <w:r>
              <w:rPr>
                <w:rFonts w:ascii="Cambria" w:hAnsi="Cambria" w:eastAsia="ＭＳ 明朝" w:cs="Cambria" w:asciiTheme="minorHAnsi" w:hAnsiTheme="minorHAnsi" w:eastAsiaTheme="minorEastAsia"/>
                <w:b/>
                <w:bCs/>
                <w:color w:val="000000"/>
                <w:sz w:val="21"/>
                <w:szCs w:val="22"/>
              </w:rPr>
              <w:t>Diabetes mellitus, n (%)</w:t>
            </w:r>
          </w:p>
        </w:tc>
        <w:tc>
          <w:tcPr>
            <w:tcW w:w="1965" w:type="dxa"/>
            <w:tcBorders>
              <w:left w:val="nil"/>
              <w:right w:val="nil"/>
              <w:insideH w:val="nil"/>
              <w:insideV w:val="nil"/>
            </w:tcBorders>
            <w:shd w:val="clear"/>
            <w:tcMar>
              <w:top w:w="0" w:type="dxa"/>
              <w:left w:w="108" w:type="dxa"/>
              <w:bottom w:w="0" w:type="dxa"/>
              <w:right w:w="108" w:type="dxa"/>
            </w:tcMar>
            <w:vAlign w:val="center"/>
          </w:tcPr>
          <w:p w14:paraId="67948BF0">
            <w:pPr>
              <w:spacing w:before="0" w:after="0"/>
              <w:jc w:val="center"/>
              <w:rPr>
                <w:color w:val="000000"/>
              </w:rPr>
            </w:pPr>
            <w:r>
              <w:rPr>
                <w:rFonts w:ascii="Cambria" w:hAnsi="Cambria" w:eastAsia="ＭＳ 明朝" w:cs="Cambria" w:asciiTheme="minorHAnsi" w:hAnsiTheme="minorHAnsi" w:eastAsiaTheme="minorEastAsia"/>
                <w:color w:val="000000"/>
                <w:sz w:val="21"/>
                <w:szCs w:val="22"/>
              </w:rPr>
              <w:t>204 (18.8%)</w:t>
            </w:r>
          </w:p>
        </w:tc>
        <w:tc>
          <w:tcPr>
            <w:tcW w:w="1965" w:type="dxa"/>
            <w:tcBorders>
              <w:left w:val="nil"/>
              <w:right w:val="nil"/>
              <w:insideH w:val="nil"/>
              <w:insideV w:val="nil"/>
            </w:tcBorders>
            <w:shd w:val="clear"/>
            <w:tcMar>
              <w:top w:w="0" w:type="dxa"/>
              <w:left w:w="108" w:type="dxa"/>
              <w:bottom w:w="0" w:type="dxa"/>
              <w:right w:w="108" w:type="dxa"/>
            </w:tcMar>
            <w:vAlign w:val="center"/>
          </w:tcPr>
          <w:p w14:paraId="53C6F671">
            <w:pPr>
              <w:spacing w:before="0" w:after="0"/>
              <w:jc w:val="center"/>
              <w:rPr>
                <w:color w:val="000000"/>
              </w:rPr>
            </w:pPr>
            <w:r>
              <w:rPr>
                <w:rFonts w:ascii="Cambria" w:hAnsi="Cambria" w:eastAsia="ＭＳ 明朝" w:cs="Cambria" w:asciiTheme="minorHAnsi" w:hAnsiTheme="minorHAnsi" w:eastAsiaTheme="minorEastAsia"/>
                <w:color w:val="000000"/>
                <w:sz w:val="21"/>
                <w:szCs w:val="22"/>
              </w:rPr>
              <w:t>285 (30.8%)</w:t>
            </w:r>
          </w:p>
        </w:tc>
        <w:tc>
          <w:tcPr>
            <w:tcW w:w="1586" w:type="dxa"/>
            <w:tcBorders>
              <w:left w:val="nil"/>
              <w:right w:val="nil"/>
              <w:insideH w:val="nil"/>
              <w:insideV w:val="nil"/>
            </w:tcBorders>
            <w:shd w:val="clear"/>
            <w:tcMar>
              <w:top w:w="0" w:type="dxa"/>
              <w:left w:w="108" w:type="dxa"/>
              <w:bottom w:w="0" w:type="dxa"/>
              <w:right w:w="108" w:type="dxa"/>
            </w:tcMar>
            <w:vAlign w:val="center"/>
          </w:tcPr>
          <w:p w14:paraId="637001E1">
            <w:pPr>
              <w:spacing w:before="0" w:after="0"/>
              <w:jc w:val="center"/>
              <w:rPr>
                <w:color w:val="000000"/>
              </w:rPr>
            </w:pPr>
            <w:r>
              <w:rPr>
                <w:rFonts w:ascii="Cambria" w:hAnsi="Cambria" w:eastAsia="ＭＳ 明朝" w:cs="Cambria" w:asciiTheme="minorHAnsi" w:hAnsiTheme="minorHAnsi" w:eastAsiaTheme="minorEastAsia"/>
                <w:color w:val="000000"/>
                <w:sz w:val="21"/>
                <w:szCs w:val="22"/>
              </w:rPr>
              <w:t>&lt;0.001</w:t>
            </w:r>
          </w:p>
        </w:tc>
      </w:tr>
      <w:tr>
        <w:tc>
          <w:tcPr>
            <w:cnfStyle w:val="001000000000"/>
            <w:tcW w:w="3272" w:type="dxa"/>
            <w:tcMar>
              <w:top w:w="0" w:type="dxa"/>
              <w:left w:w="108" w:type="dxa"/>
              <w:bottom w:w="0" w:type="dxa"/>
              <w:right w:w="108" w:type="dxa"/>
            </w:tcMar>
            <w:vAlign w:val="center"/>
          </w:tcPr>
          <w:p w14:paraId="00BE681E">
            <w:pPr>
              <w:spacing w:before="0" w:after="0" w:line="276" w:lineRule="auto"/>
              <w:jc w:val="center"/>
              <w:rPr>
                <w:color w:val="000000"/>
              </w:rPr>
            </w:pPr>
            <w:r>
              <w:rPr>
                <w:rFonts w:ascii="Cambria" w:hAnsi="Cambria" w:eastAsia="ＭＳ 明朝" w:cs="Cambria" w:asciiTheme="minorHAnsi" w:hAnsiTheme="minorHAnsi" w:eastAsiaTheme="minorEastAsia"/>
                <w:b/>
                <w:bCs/>
                <w:color w:val="000000"/>
                <w:sz w:val="21"/>
                <w:szCs w:val="22"/>
              </w:rPr>
              <w:t>Chronic kidney disease, n (%)</w:t>
            </w:r>
          </w:p>
        </w:tc>
        <w:tc>
          <w:tcPr>
            <w:tcW w:w="1965" w:type="dxa"/>
            <w:tcMar>
              <w:top w:w="0" w:type="dxa"/>
              <w:left w:w="108" w:type="dxa"/>
              <w:bottom w:w="0" w:type="dxa"/>
              <w:right w:w="108" w:type="dxa"/>
            </w:tcMar>
            <w:vAlign w:val="center"/>
          </w:tcPr>
          <w:p w14:paraId="043EA02E">
            <w:pPr>
              <w:spacing w:before="0" w:after="0"/>
              <w:jc w:val="center"/>
              <w:rPr>
                <w:color w:val="000000"/>
              </w:rPr>
            </w:pPr>
            <w:r>
              <w:rPr>
                <w:rFonts w:ascii="Cambria" w:hAnsi="Cambria" w:eastAsia="ＭＳ 明朝" w:cs="Cambria" w:asciiTheme="minorHAnsi" w:hAnsiTheme="minorHAnsi" w:eastAsiaTheme="minorEastAsia"/>
                <w:color w:val="000000"/>
                <w:sz w:val="21"/>
                <w:szCs w:val="22"/>
              </w:rPr>
              <w:t>83 (7.6%)</w:t>
            </w:r>
          </w:p>
        </w:tc>
        <w:tc>
          <w:tcPr>
            <w:tcW w:w="1965" w:type="dxa"/>
            <w:tcMar>
              <w:top w:w="0" w:type="dxa"/>
              <w:left w:w="108" w:type="dxa"/>
              <w:bottom w:w="0" w:type="dxa"/>
              <w:right w:w="108" w:type="dxa"/>
            </w:tcMar>
            <w:vAlign w:val="center"/>
          </w:tcPr>
          <w:p w14:paraId="6BE1FA0E">
            <w:pPr>
              <w:spacing w:before="0" w:after="0"/>
              <w:jc w:val="center"/>
              <w:rPr>
                <w:color w:val="000000"/>
              </w:rPr>
            </w:pPr>
            <w:r>
              <w:rPr>
                <w:rFonts w:ascii="Cambria" w:hAnsi="Cambria" w:eastAsia="ＭＳ 明朝" w:cs="Cambria" w:asciiTheme="minorHAnsi" w:hAnsiTheme="minorHAnsi" w:eastAsiaTheme="minorEastAsia"/>
                <w:color w:val="000000"/>
                <w:sz w:val="21"/>
                <w:szCs w:val="22"/>
              </w:rPr>
              <w:t>168 (18.2%)</w:t>
            </w:r>
          </w:p>
        </w:tc>
        <w:tc>
          <w:tcPr>
            <w:tcW w:w="1586" w:type="dxa"/>
            <w:tcMar>
              <w:top w:w="0" w:type="dxa"/>
              <w:left w:w="108" w:type="dxa"/>
              <w:bottom w:w="0" w:type="dxa"/>
              <w:right w:w="108" w:type="dxa"/>
            </w:tcMar>
            <w:vAlign w:val="center"/>
          </w:tcPr>
          <w:p w14:paraId="156B5164">
            <w:pPr>
              <w:spacing w:before="0" w:after="0"/>
              <w:jc w:val="center"/>
              <w:rPr>
                <w:color w:val="000000"/>
              </w:rPr>
            </w:pPr>
            <w:r>
              <w:rPr>
                <w:rFonts w:ascii="Cambria" w:hAnsi="Cambria" w:eastAsia="ＭＳ 明朝" w:cs="Cambria" w:asciiTheme="minorHAnsi" w:hAnsiTheme="minorHAnsi" w:eastAsiaTheme="minorEastAsia"/>
                <w:color w:val="000000"/>
                <w:sz w:val="21"/>
                <w:szCs w:val="22"/>
              </w:rPr>
              <w:t>&lt;0.001</w:t>
            </w:r>
          </w:p>
        </w:tc>
      </w:tr>
      <w:tr>
        <w:trPr>
          <w:cnfStyle w:val="000000100000"/>
        </w:trPr>
        <w:tc>
          <w:tcPr>
            <w:cnfStyle w:val="001000000000"/>
            <w:tcW w:w="3272" w:type="dxa"/>
            <w:tcBorders>
              <w:left w:val="nil"/>
              <w:right w:val="nil"/>
              <w:insideH w:val="nil"/>
              <w:insideV w:val="nil"/>
            </w:tcBorders>
            <w:shd w:val="clear"/>
            <w:tcMar>
              <w:top w:w="0" w:type="dxa"/>
              <w:left w:w="108" w:type="dxa"/>
              <w:bottom w:w="0" w:type="dxa"/>
              <w:right w:w="108" w:type="dxa"/>
            </w:tcMar>
            <w:vAlign w:val="center"/>
          </w:tcPr>
          <w:p w14:paraId="68FA2B81">
            <w:pPr>
              <w:spacing w:before="0" w:after="0" w:line="276" w:lineRule="auto"/>
              <w:jc w:val="center"/>
              <w:rPr>
                <w:color w:val="000000"/>
              </w:rPr>
            </w:pPr>
            <w:r>
              <w:rPr>
                <w:rFonts w:ascii="Cambria" w:hAnsi="Cambria" w:eastAsia="ＭＳ 明朝" w:cs="Cambria" w:asciiTheme="minorHAnsi" w:hAnsiTheme="minorHAnsi" w:eastAsiaTheme="minorEastAsia"/>
                <w:b/>
                <w:bCs/>
                <w:color w:val="000000"/>
                <w:sz w:val="21"/>
                <w:szCs w:val="22"/>
              </w:rPr>
              <w:t>Imaging</w:t>
            </w:r>
          </w:p>
        </w:tc>
        <w:tc>
          <w:tcPr>
            <w:tcW w:w="1965" w:type="dxa"/>
            <w:tcBorders>
              <w:left w:val="nil"/>
              <w:right w:val="nil"/>
              <w:insideH w:val="nil"/>
              <w:insideV w:val="nil"/>
            </w:tcBorders>
            <w:shd w:val="clear"/>
            <w:tcMar>
              <w:top w:w="0" w:type="dxa"/>
              <w:left w:w="108" w:type="dxa"/>
              <w:bottom w:w="0" w:type="dxa"/>
              <w:right w:w="108" w:type="dxa"/>
            </w:tcMar>
            <w:vAlign w:val="center"/>
          </w:tcPr>
          <w:p w14:paraId="139C007F">
            <w:pPr>
              <w:spacing w:before="0" w:after="0" w:line="276" w:lineRule="auto"/>
              <w:jc w:val="center"/>
              <w:rPr>
                <w:color w:val="000000"/>
              </w:rPr>
            </w:pPr>
          </w:p>
        </w:tc>
        <w:tc>
          <w:tcPr>
            <w:tcW w:w="1965" w:type="dxa"/>
            <w:tcBorders>
              <w:left w:val="nil"/>
              <w:right w:val="nil"/>
              <w:insideH w:val="nil"/>
              <w:insideV w:val="nil"/>
            </w:tcBorders>
            <w:shd w:val="clear"/>
            <w:tcMar>
              <w:top w:w="0" w:type="dxa"/>
              <w:left w:w="108" w:type="dxa"/>
              <w:bottom w:w="0" w:type="dxa"/>
              <w:right w:w="108" w:type="dxa"/>
            </w:tcMar>
            <w:vAlign w:val="center"/>
          </w:tcPr>
          <w:p w14:paraId="0078E2D2">
            <w:pPr>
              <w:spacing w:before="0" w:after="0" w:line="276" w:lineRule="auto"/>
              <w:jc w:val="center"/>
              <w:rPr>
                <w:color w:val="000000"/>
              </w:rPr>
            </w:pPr>
          </w:p>
        </w:tc>
        <w:tc>
          <w:tcPr>
            <w:tcW w:w="1586" w:type="dxa"/>
            <w:tcBorders>
              <w:left w:val="nil"/>
              <w:right w:val="nil"/>
              <w:insideH w:val="nil"/>
              <w:insideV w:val="nil"/>
            </w:tcBorders>
            <w:shd w:val="clear"/>
            <w:tcMar>
              <w:top w:w="0" w:type="dxa"/>
              <w:left w:w="108" w:type="dxa"/>
              <w:bottom w:w="0" w:type="dxa"/>
              <w:right w:w="108" w:type="dxa"/>
            </w:tcMar>
            <w:vAlign w:val="center"/>
          </w:tcPr>
          <w:p w14:paraId="7921C5E5">
            <w:pPr>
              <w:spacing w:before="0" w:after="0" w:line="276" w:lineRule="auto"/>
              <w:jc w:val="center"/>
              <w:rPr>
                <w:color w:val="000000"/>
              </w:rPr>
            </w:pPr>
          </w:p>
        </w:tc>
      </w:tr>
      <w:tr>
        <w:tc>
          <w:tcPr>
            <w:cnfStyle w:val="001000000000"/>
            <w:tcW w:w="3272" w:type="dxa"/>
            <w:tcMar>
              <w:top w:w="0" w:type="dxa"/>
              <w:left w:w="108" w:type="dxa"/>
              <w:bottom w:w="0" w:type="dxa"/>
              <w:right w:w="108" w:type="dxa"/>
            </w:tcMar>
            <w:vAlign w:val="center"/>
          </w:tcPr>
          <w:p w14:paraId="59857C3D">
            <w:pPr>
              <w:spacing w:before="0" w:after="0" w:line="276" w:lineRule="auto"/>
              <w:jc w:val="center"/>
              <w:rPr>
                <w:color w:val="000000"/>
              </w:rPr>
            </w:pPr>
            <w:r>
              <w:rPr>
                <w:rFonts w:ascii="Cambria" w:hAnsi="Cambria" w:eastAsia="ＭＳ 明朝" w:cs="Cambria" w:asciiTheme="minorHAnsi" w:hAnsiTheme="minorHAnsi" w:eastAsiaTheme="minorEastAsia"/>
                <w:b/>
                <w:bCs/>
                <w:color w:val="000000"/>
                <w:sz w:val="21"/>
                <w:szCs w:val="22"/>
              </w:rPr>
              <w:t>CT scanner vendor, n (%)</w:t>
            </w:r>
          </w:p>
        </w:tc>
        <w:tc>
          <w:tcPr>
            <w:tcW w:w="1965" w:type="dxa"/>
            <w:tcMar>
              <w:top w:w="0" w:type="dxa"/>
              <w:left w:w="108" w:type="dxa"/>
              <w:bottom w:w="0" w:type="dxa"/>
              <w:right w:w="108" w:type="dxa"/>
            </w:tcMar>
            <w:vAlign w:val="center"/>
          </w:tcPr>
          <w:p w14:paraId="5D699809">
            <w:pPr>
              <w:spacing w:before="0" w:after="0"/>
              <w:jc w:val="center"/>
              <w:rPr>
                <w:color w:val="000000"/>
              </w:rPr>
            </w:pPr>
          </w:p>
        </w:tc>
        <w:tc>
          <w:tcPr>
            <w:tcW w:w="1965" w:type="dxa"/>
            <w:tcMar>
              <w:top w:w="0" w:type="dxa"/>
              <w:left w:w="108" w:type="dxa"/>
              <w:bottom w:w="0" w:type="dxa"/>
              <w:right w:w="108" w:type="dxa"/>
            </w:tcMar>
            <w:vAlign w:val="center"/>
          </w:tcPr>
          <w:p w14:paraId="3943F3AB">
            <w:pPr>
              <w:spacing w:before="0" w:after="0"/>
              <w:jc w:val="center"/>
              <w:rPr>
                <w:color w:val="000000"/>
              </w:rPr>
            </w:pPr>
          </w:p>
        </w:tc>
        <w:tc>
          <w:tcPr>
            <w:tcW w:w="1586" w:type="dxa"/>
            <w:tcMar>
              <w:top w:w="0" w:type="dxa"/>
              <w:left w:w="108" w:type="dxa"/>
              <w:bottom w:w="0" w:type="dxa"/>
              <w:right w:w="108" w:type="dxa"/>
            </w:tcMar>
            <w:vAlign w:val="center"/>
          </w:tcPr>
          <w:p w14:paraId="3D8B7143">
            <w:pPr>
              <w:spacing w:before="0" w:after="0"/>
              <w:jc w:val="center"/>
              <w:rPr>
                <w:color w:val="000000"/>
              </w:rPr>
            </w:pPr>
            <w:r>
              <w:rPr>
                <w:rFonts w:ascii="Cambria" w:hAnsi="Cambria" w:eastAsia="ＭＳ 明朝" w:cs="Cambria" w:asciiTheme="minorHAnsi" w:hAnsiTheme="minorHAnsi" w:eastAsiaTheme="minorEastAsia"/>
                <w:color w:val="000000"/>
                <w:sz w:val="21"/>
                <w:szCs w:val="22"/>
              </w:rPr>
              <w:t>&lt;0.001</w:t>
            </w:r>
          </w:p>
        </w:tc>
      </w:tr>
      <w:tr>
        <w:trPr>
          <w:cnfStyle w:val="000000100000"/>
        </w:trPr>
        <w:tc>
          <w:tcPr>
            <w:cnfStyle w:val="001000000000"/>
            <w:tcW w:w="3272" w:type="dxa"/>
            <w:tcBorders>
              <w:left w:val="nil"/>
              <w:right w:val="nil"/>
              <w:insideH w:val="nil"/>
              <w:insideV w:val="nil"/>
            </w:tcBorders>
            <w:shd w:val="clear"/>
            <w:tcMar>
              <w:top w:w="0" w:type="dxa"/>
              <w:left w:w="108" w:type="dxa"/>
              <w:bottom w:w="0" w:type="dxa"/>
              <w:right w:w="108" w:type="dxa"/>
            </w:tcMar>
            <w:vAlign w:val="center"/>
          </w:tcPr>
          <w:p w14:paraId="35942D62">
            <w:pPr>
              <w:spacing w:before="0" w:after="0" w:line="276" w:lineRule="auto"/>
              <w:jc w:val="center"/>
              <w:rPr>
                <w:color w:val="000000"/>
              </w:rPr>
            </w:pPr>
            <w:r>
              <w:rPr>
                <w:rFonts w:ascii="Cambria" w:hAnsi="Cambria" w:eastAsia="ＭＳ 明朝" w:cs="Cambria" w:asciiTheme="minorHAnsi" w:hAnsiTheme="minorHAnsi" w:eastAsiaTheme="minorEastAsia"/>
                <w:b/>
                <w:bCs/>
                <w:color w:val="000000"/>
                <w:sz w:val="21"/>
                <w:szCs w:val="22"/>
              </w:rPr>
              <w:t xml:space="preserve">    — Siemens</w:t>
            </w:r>
          </w:p>
        </w:tc>
        <w:tc>
          <w:tcPr>
            <w:tcW w:w="1965" w:type="dxa"/>
            <w:tcBorders>
              <w:left w:val="nil"/>
              <w:right w:val="nil"/>
              <w:insideH w:val="nil"/>
              <w:insideV w:val="nil"/>
            </w:tcBorders>
            <w:shd w:val="clear"/>
            <w:tcMar>
              <w:top w:w="0" w:type="dxa"/>
              <w:left w:w="108" w:type="dxa"/>
              <w:bottom w:w="0" w:type="dxa"/>
              <w:right w:w="108" w:type="dxa"/>
            </w:tcMar>
            <w:vAlign w:val="center"/>
          </w:tcPr>
          <w:p w14:paraId="539A0F1E">
            <w:pPr>
              <w:spacing w:before="0" w:after="0"/>
              <w:jc w:val="center"/>
              <w:rPr>
                <w:color w:val="000000"/>
              </w:rPr>
            </w:pPr>
            <w:r>
              <w:rPr>
                <w:rFonts w:ascii="Cambria" w:hAnsi="Cambria" w:eastAsia="ＭＳ 明朝" w:cs="Cambria" w:asciiTheme="minorHAnsi" w:hAnsiTheme="minorHAnsi" w:eastAsiaTheme="minorEastAsia"/>
                <w:color w:val="000000"/>
                <w:sz w:val="21"/>
                <w:szCs w:val="22"/>
              </w:rPr>
              <w:t>566 (52.0%)</w:t>
            </w:r>
          </w:p>
        </w:tc>
        <w:tc>
          <w:tcPr>
            <w:tcW w:w="1965" w:type="dxa"/>
            <w:tcBorders>
              <w:left w:val="nil"/>
              <w:right w:val="nil"/>
              <w:insideH w:val="nil"/>
              <w:insideV w:val="nil"/>
            </w:tcBorders>
            <w:shd w:val="clear"/>
            <w:tcMar>
              <w:top w:w="0" w:type="dxa"/>
              <w:left w:w="108" w:type="dxa"/>
              <w:bottom w:w="0" w:type="dxa"/>
              <w:right w:w="108" w:type="dxa"/>
            </w:tcMar>
            <w:vAlign w:val="center"/>
          </w:tcPr>
          <w:p w14:paraId="360FE00F">
            <w:pPr>
              <w:spacing w:before="0" w:after="0"/>
              <w:jc w:val="center"/>
              <w:rPr>
                <w:color w:val="000000"/>
              </w:rPr>
            </w:pPr>
            <w:r>
              <w:rPr>
                <w:rFonts w:ascii="Cambria" w:hAnsi="Cambria" w:eastAsia="ＭＳ 明朝" w:cs="Cambria" w:asciiTheme="minorHAnsi" w:hAnsiTheme="minorHAnsi" w:eastAsiaTheme="minorEastAsia"/>
                <w:color w:val="000000"/>
                <w:sz w:val="21"/>
                <w:szCs w:val="22"/>
              </w:rPr>
              <w:t>568 (61.4%)</w:t>
            </w:r>
          </w:p>
        </w:tc>
        <w:tc>
          <w:tcPr>
            <w:tcW w:w="1586" w:type="dxa"/>
            <w:tcBorders>
              <w:left w:val="nil"/>
              <w:right w:val="nil"/>
              <w:insideH w:val="nil"/>
              <w:insideV w:val="nil"/>
            </w:tcBorders>
            <w:shd w:val="clear"/>
            <w:tcMar>
              <w:top w:w="0" w:type="dxa"/>
              <w:left w:w="108" w:type="dxa"/>
              <w:bottom w:w="0" w:type="dxa"/>
              <w:right w:w="108" w:type="dxa"/>
            </w:tcMar>
            <w:vAlign w:val="center"/>
          </w:tcPr>
          <w:p w14:paraId="4EDAF9C6">
            <w:pPr>
              <w:spacing w:before="0" w:after="0"/>
              <w:jc w:val="center"/>
              <w:rPr>
                <w:color w:val="000000"/>
              </w:rPr>
            </w:pPr>
          </w:p>
        </w:tc>
      </w:tr>
      <w:tr>
        <w:tc>
          <w:tcPr>
            <w:cnfStyle w:val="001000000000"/>
            <w:tcW w:w="3272" w:type="dxa"/>
            <w:tcMar>
              <w:top w:w="0" w:type="dxa"/>
              <w:left w:w="108" w:type="dxa"/>
              <w:bottom w:w="0" w:type="dxa"/>
              <w:right w:w="108" w:type="dxa"/>
            </w:tcMar>
            <w:vAlign w:val="center"/>
          </w:tcPr>
          <w:p w14:paraId="36C03D43">
            <w:pPr>
              <w:spacing w:before="0" w:after="0" w:line="276" w:lineRule="auto"/>
              <w:jc w:val="center"/>
              <w:rPr>
                <w:color w:val="000000"/>
              </w:rPr>
            </w:pPr>
            <w:r>
              <w:rPr>
                <w:rFonts w:ascii="Cambria" w:hAnsi="Cambria" w:eastAsia="ＭＳ 明朝" w:cs="Cambria" w:asciiTheme="minorHAnsi" w:hAnsiTheme="minorHAnsi" w:eastAsiaTheme="minorEastAsia"/>
                <w:b/>
                <w:bCs/>
                <w:color w:val="000000"/>
                <w:sz w:val="21"/>
                <w:szCs w:val="22"/>
              </w:rPr>
              <w:t xml:space="preserve">    — GE</w:t>
            </w:r>
          </w:p>
        </w:tc>
        <w:tc>
          <w:tcPr>
            <w:tcW w:w="1965" w:type="dxa"/>
            <w:tcMar>
              <w:top w:w="0" w:type="dxa"/>
              <w:left w:w="108" w:type="dxa"/>
              <w:bottom w:w="0" w:type="dxa"/>
              <w:right w:w="108" w:type="dxa"/>
            </w:tcMar>
            <w:vAlign w:val="center"/>
          </w:tcPr>
          <w:p w14:paraId="797486FB">
            <w:pPr>
              <w:spacing w:before="0" w:after="0"/>
              <w:jc w:val="center"/>
              <w:rPr>
                <w:color w:val="000000"/>
              </w:rPr>
            </w:pPr>
            <w:r>
              <w:rPr>
                <w:rFonts w:ascii="Cambria" w:hAnsi="Cambria" w:eastAsia="ＭＳ 明朝" w:cs="Cambria" w:asciiTheme="minorHAnsi" w:hAnsiTheme="minorHAnsi" w:eastAsiaTheme="minorEastAsia"/>
                <w:color w:val="000000"/>
                <w:sz w:val="21"/>
                <w:szCs w:val="22"/>
              </w:rPr>
              <w:t>318 (29.2%)</w:t>
            </w:r>
          </w:p>
        </w:tc>
        <w:tc>
          <w:tcPr>
            <w:tcW w:w="1965" w:type="dxa"/>
            <w:tcMar>
              <w:top w:w="0" w:type="dxa"/>
              <w:left w:w="108" w:type="dxa"/>
              <w:bottom w:w="0" w:type="dxa"/>
              <w:right w:w="108" w:type="dxa"/>
            </w:tcMar>
            <w:vAlign w:val="center"/>
          </w:tcPr>
          <w:p w14:paraId="12CD7760">
            <w:pPr>
              <w:spacing w:before="0" w:after="0"/>
              <w:jc w:val="center"/>
              <w:rPr>
                <w:color w:val="000000"/>
              </w:rPr>
            </w:pPr>
            <w:r>
              <w:rPr>
                <w:rFonts w:ascii="Cambria" w:hAnsi="Cambria" w:eastAsia="ＭＳ 明朝" w:cs="Cambria" w:asciiTheme="minorHAnsi" w:hAnsiTheme="minorHAnsi" w:eastAsiaTheme="minorEastAsia"/>
                <w:color w:val="000000"/>
                <w:sz w:val="21"/>
                <w:szCs w:val="22"/>
              </w:rPr>
              <w:t>219 (23.7%)</w:t>
            </w:r>
          </w:p>
        </w:tc>
        <w:tc>
          <w:tcPr>
            <w:tcW w:w="1586" w:type="dxa"/>
            <w:tcMar>
              <w:top w:w="0" w:type="dxa"/>
              <w:left w:w="108" w:type="dxa"/>
              <w:bottom w:w="0" w:type="dxa"/>
              <w:right w:w="108" w:type="dxa"/>
            </w:tcMar>
            <w:vAlign w:val="center"/>
          </w:tcPr>
          <w:p w14:paraId="7121AEAE">
            <w:pPr>
              <w:spacing w:before="0" w:after="0"/>
              <w:jc w:val="center"/>
              <w:rPr>
                <w:color w:val="000000"/>
              </w:rPr>
            </w:pPr>
          </w:p>
        </w:tc>
      </w:tr>
      <w:tr>
        <w:trPr>
          <w:cnfStyle w:val="000000100000"/>
        </w:trPr>
        <w:tc>
          <w:tcPr>
            <w:cnfStyle w:val="001000000000"/>
            <w:tcW w:w="3272" w:type="dxa"/>
            <w:tcBorders>
              <w:left w:val="nil"/>
              <w:right w:val="nil"/>
              <w:insideH w:val="nil"/>
              <w:insideV w:val="nil"/>
            </w:tcBorders>
            <w:shd w:val="clear"/>
            <w:tcMar>
              <w:top w:w="0" w:type="dxa"/>
              <w:left w:w="108" w:type="dxa"/>
              <w:bottom w:w="0" w:type="dxa"/>
              <w:right w:w="108" w:type="dxa"/>
            </w:tcMar>
            <w:vAlign w:val="center"/>
          </w:tcPr>
          <w:p w14:paraId="1325845A">
            <w:pPr>
              <w:spacing w:before="0" w:after="0" w:line="276" w:lineRule="auto"/>
              <w:jc w:val="center"/>
              <w:rPr>
                <w:color w:val="000000"/>
              </w:rPr>
            </w:pPr>
            <w:r>
              <w:rPr>
                <w:rFonts w:ascii="Cambria" w:hAnsi="Cambria" w:eastAsia="ＭＳ 明朝" w:cs="Cambria" w:asciiTheme="minorHAnsi" w:hAnsiTheme="minorHAnsi" w:eastAsiaTheme="minorEastAsia"/>
                <w:b/>
                <w:bCs/>
                <w:color w:val="000000"/>
                <w:sz w:val="21"/>
                <w:szCs w:val="22"/>
              </w:rPr>
              <w:t xml:space="preserve">    — Philips</w:t>
            </w:r>
          </w:p>
        </w:tc>
        <w:tc>
          <w:tcPr>
            <w:tcW w:w="1965" w:type="dxa"/>
            <w:tcBorders>
              <w:left w:val="nil"/>
              <w:right w:val="nil"/>
              <w:insideH w:val="nil"/>
              <w:insideV w:val="nil"/>
            </w:tcBorders>
            <w:shd w:val="clear"/>
            <w:tcMar>
              <w:top w:w="0" w:type="dxa"/>
              <w:left w:w="108" w:type="dxa"/>
              <w:bottom w:w="0" w:type="dxa"/>
              <w:right w:w="108" w:type="dxa"/>
            </w:tcMar>
            <w:vAlign w:val="center"/>
          </w:tcPr>
          <w:p w14:paraId="46366B37">
            <w:pPr>
              <w:spacing w:before="0" w:after="0"/>
              <w:jc w:val="center"/>
              <w:rPr>
                <w:color w:val="000000"/>
              </w:rPr>
            </w:pPr>
            <w:r>
              <w:rPr>
                <w:rFonts w:ascii="Cambria" w:hAnsi="Cambria" w:eastAsia="ＭＳ 明朝" w:cs="Cambria" w:asciiTheme="minorHAnsi" w:hAnsiTheme="minorHAnsi" w:eastAsiaTheme="minorEastAsia"/>
                <w:color w:val="000000"/>
                <w:sz w:val="21"/>
                <w:szCs w:val="22"/>
              </w:rPr>
              <w:t>202 (18.6%)</w:t>
            </w:r>
          </w:p>
        </w:tc>
        <w:tc>
          <w:tcPr>
            <w:tcW w:w="1965" w:type="dxa"/>
            <w:tcBorders>
              <w:left w:val="nil"/>
              <w:right w:val="nil"/>
              <w:insideH w:val="nil"/>
              <w:insideV w:val="nil"/>
            </w:tcBorders>
            <w:shd w:val="clear"/>
            <w:tcMar>
              <w:top w:w="0" w:type="dxa"/>
              <w:left w:w="108" w:type="dxa"/>
              <w:bottom w:w="0" w:type="dxa"/>
              <w:right w:w="108" w:type="dxa"/>
            </w:tcMar>
            <w:vAlign w:val="center"/>
          </w:tcPr>
          <w:p w14:paraId="3EC5C3D7">
            <w:pPr>
              <w:spacing w:before="0" w:after="0"/>
              <w:jc w:val="center"/>
              <w:rPr>
                <w:color w:val="000000"/>
              </w:rPr>
            </w:pPr>
            <w:r>
              <w:rPr>
                <w:rFonts w:ascii="Cambria" w:hAnsi="Cambria" w:eastAsia="ＭＳ 明朝" w:cs="Cambria" w:asciiTheme="minorHAnsi" w:hAnsiTheme="minorHAnsi" w:eastAsiaTheme="minorEastAsia"/>
                <w:color w:val="000000"/>
                <w:sz w:val="21"/>
                <w:szCs w:val="22"/>
              </w:rPr>
              <w:t>135 (14.6%)</w:t>
            </w:r>
          </w:p>
        </w:tc>
        <w:tc>
          <w:tcPr>
            <w:tcW w:w="1586" w:type="dxa"/>
            <w:tcBorders>
              <w:left w:val="nil"/>
              <w:right w:val="nil"/>
              <w:insideH w:val="nil"/>
              <w:insideV w:val="nil"/>
            </w:tcBorders>
            <w:shd w:val="clear"/>
            <w:tcMar>
              <w:top w:w="0" w:type="dxa"/>
              <w:left w:w="108" w:type="dxa"/>
              <w:bottom w:w="0" w:type="dxa"/>
              <w:right w:w="108" w:type="dxa"/>
            </w:tcMar>
            <w:vAlign w:val="center"/>
          </w:tcPr>
          <w:p w14:paraId="412FC372">
            <w:pPr>
              <w:spacing w:before="0" w:after="0"/>
              <w:jc w:val="center"/>
              <w:rPr>
                <w:color w:val="000000"/>
              </w:rPr>
            </w:pPr>
          </w:p>
        </w:tc>
      </w:tr>
      <w:tr>
        <w:tc>
          <w:tcPr>
            <w:cnfStyle w:val="001000000000"/>
            <w:tcW w:w="3272" w:type="dxa"/>
            <w:tcBorders>
              <w:bottom w:val="single" w:sz="8" w:space="0" w:color="000000"/>
            </w:tcBorders>
            <w:tcMar>
              <w:top w:w="0" w:type="dxa"/>
              <w:left w:w="108" w:type="dxa"/>
              <w:bottom w:w="0" w:type="dxa"/>
              <w:right w:w="108" w:type="dxa"/>
            </w:tcMar>
            <w:vAlign w:val="center"/>
          </w:tcPr>
          <w:p w14:paraId="2F5D199D">
            <w:pPr>
              <w:spacing w:before="0" w:after="0" w:line="276" w:lineRule="auto"/>
              <w:jc w:val="center"/>
              <w:rPr>
                <w:color w:val="000000"/>
              </w:rPr>
            </w:pPr>
            <w:r>
              <w:rPr>
                <w:rFonts w:ascii="Cambria" w:hAnsi="Cambria" w:eastAsia="ＭＳ 明朝" w:cs="Cambria" w:asciiTheme="minorHAnsi" w:hAnsiTheme="minorHAnsi" w:eastAsiaTheme="minorEastAsia"/>
                <w:b/>
                <w:bCs/>
                <w:color w:val="000000"/>
                <w:sz w:val="21"/>
                <w:szCs w:val="22"/>
              </w:rPr>
              <w:t xml:space="preserve">    — Canon</w:t>
            </w:r>
          </w:p>
        </w:tc>
        <w:tc>
          <w:tcPr>
            <w:tcW w:w="1965" w:type="dxa"/>
            <w:tcBorders>
              <w:bottom w:val="single" w:sz="8" w:space="0" w:color="000000"/>
            </w:tcBorders>
            <w:tcMar>
              <w:top w:w="0" w:type="dxa"/>
              <w:left w:w="108" w:type="dxa"/>
              <w:bottom w:w="0" w:type="dxa"/>
              <w:right w:w="108" w:type="dxa"/>
            </w:tcMar>
            <w:vAlign w:val="center"/>
          </w:tcPr>
          <w:p w14:paraId="448B10D0">
            <w:pPr>
              <w:spacing w:before="0" w:after="0"/>
              <w:jc w:val="center"/>
              <w:rPr>
                <w:color w:val="000000"/>
              </w:rPr>
            </w:pPr>
            <w:r>
              <w:rPr>
                <w:rFonts w:ascii="Cambria" w:hAnsi="Cambria" w:eastAsia="ＭＳ 明朝" w:cs="Cambria" w:asciiTheme="minorHAnsi" w:hAnsiTheme="minorHAnsi" w:eastAsiaTheme="minorEastAsia"/>
                <w:color w:val="000000"/>
                <w:sz w:val="21"/>
                <w:szCs w:val="22"/>
              </w:rPr>
              <w:t>2 (0.2%)</w:t>
            </w:r>
          </w:p>
        </w:tc>
        <w:tc>
          <w:tcPr>
            <w:tcW w:w="1965" w:type="dxa"/>
            <w:tcBorders>
              <w:bottom w:val="single" w:sz="8" w:space="0" w:color="000000"/>
            </w:tcBorders>
            <w:tcMar>
              <w:top w:w="0" w:type="dxa"/>
              <w:left w:w="108" w:type="dxa"/>
              <w:bottom w:w="0" w:type="dxa"/>
              <w:right w:w="108" w:type="dxa"/>
            </w:tcMar>
            <w:vAlign w:val="center"/>
          </w:tcPr>
          <w:p w14:paraId="384309C5">
            <w:pPr>
              <w:spacing w:before="0" w:after="0"/>
              <w:jc w:val="center"/>
              <w:rPr>
                <w:color w:val="000000"/>
              </w:rPr>
            </w:pPr>
            <w:r>
              <w:rPr>
                <w:rFonts w:ascii="Cambria" w:hAnsi="Cambria" w:eastAsia="ＭＳ 明朝" w:cs="Cambria" w:asciiTheme="minorHAnsi" w:hAnsiTheme="minorHAnsi" w:eastAsiaTheme="minorEastAsia"/>
                <w:color w:val="000000"/>
                <w:sz w:val="21"/>
                <w:szCs w:val="22"/>
              </w:rPr>
              <w:t>3 (0.3%)</w:t>
            </w:r>
          </w:p>
        </w:tc>
        <w:tc>
          <w:tcPr>
            <w:tcW w:w="1586" w:type="dxa"/>
            <w:tcBorders>
              <w:bottom w:val="single" w:sz="8" w:space="0" w:color="000000"/>
            </w:tcBorders>
            <w:tcMar>
              <w:top w:w="0" w:type="dxa"/>
              <w:left w:w="108" w:type="dxa"/>
              <w:bottom w:w="0" w:type="dxa"/>
              <w:right w:w="108" w:type="dxa"/>
            </w:tcMar>
            <w:vAlign w:val="center"/>
          </w:tcPr>
          <w:p w14:paraId="0E9FCAC9">
            <w:pPr>
              <w:spacing w:before="0" w:after="0"/>
              <w:jc w:val="center"/>
              <w:rPr>
                <w:color w:val="000000"/>
              </w:rPr>
            </w:pPr>
          </w:p>
        </w:tc>
      </w:tr>
    </w:tbl>
    <w:p w14:paraId="35DCAFBE">
      <w:pPr>
        <w:spacing w:before="0" w:after="200" w:line="276" w:lineRule="auto"/>
      </w:pPr>
      <w:r>
        <w:rPr>
          <w:rFonts w:ascii="Cambria" w:hAnsi="Cambria" w:eastAsia="ＭＳ 明朝" w:cs="Cambria" w:asciiTheme="minorHAnsi" w:hAnsiTheme="minorHAnsi" w:eastAsiaTheme="minorEastAsia"/>
          <w:i/>
          <w:iCs/>
          <w:sz w:val="18"/>
          <w:szCs w:val="22"/>
        </w:rPr>
        <w:t>Note.—Continuous variables are expressed as mean ± SD and compared with Welch's t test; categorical variables are expressed as n (%) and compared with the chi-square test. BMI = body mass index.</w:t>
      </w:r>
    </w:p>
    <w:p w14:paraId="4298D2A2">
      <w:pPr>
        <w:pStyle w:val="Heading2"/>
        <w:spacing w:before="200"/>
      </w:pPr>
      <w:r>
        <w:rPr>
          <w:rFonts w:ascii="Calibri" w:hAnsi="Calibri" w:eastAsia="ＭＳ ゴシック" w:cs="Calibri" w:asciiTheme="majorHAnsi" w:hAnsiTheme="majorHAnsi" w:eastAsiaTheme="majorEastAsia"/>
          <w:b/>
          <w:bCs/>
          <w:color w:val="4F81BD"/>
          <w:sz w:val="26"/>
          <w:szCs w:val="26"/>
        </w:rPr>
        <w:t>Measurements</w:t>
      </w:r>
    </w:p>
    <w:p w14:paraId="338DF7AE">
      <w:pPr>
        <w:spacing w:line="276" w:lineRule="auto"/>
      </w:pPr>
      <w:r>
        <w:rPr>
          <w:rFonts w:ascii="Cambria" w:hAnsi="Cambria" w:eastAsia="ＭＳ 明朝" w:cs="Cambria" w:asciiTheme="minorHAnsi" w:hAnsiTheme="minorHAnsi" w:eastAsiaTheme="minorEastAsia"/>
          <w:b/>
          <w:bCs/>
          <w:i/>
          <w:iCs/>
          <w:sz w:val="22"/>
          <w:szCs w:val="22"/>
        </w:rPr>
        <w:t>CT image acquisition.—</w:t>
      </w:r>
      <w:r>
        <w:rPr>
          <w:rFonts w:ascii="Cambria" w:hAnsi="Cambria" w:eastAsia="ＭＳ 明朝" w:cs="Cambria" w:asciiTheme="minorHAnsi" w:hAnsiTheme="minorHAnsi" w:eastAsiaTheme="minorEastAsia"/>
          <w:sz w:val="22"/>
          <w:szCs w:val="22"/>
        </w:rPr>
        <w:t>For each patient, the CT scanner recorded an Automatic Exposure Control (AEC) tube-current (mA) modulation curve during the chest-abdomen acquisition. This curve represents the tube current the scanner adjusts in real time along the z-axis (craniocaudal slice position) to keep image quality constant, and it inherently encodes each patient's cross-sectional attenuation characteristics — that is, body habitus and size — at each position.</w:t>
      </w:r>
    </w:p>
    <w:p w14:paraId="696E44CC">
      <w:pPr>
        <w:spacing w:after="200" w:line="276" w:lineRule="auto"/>
      </w:pPr>
      <w:r>
        <w:rPr>
          <w:rFonts w:ascii="Cambria" w:hAnsi="Cambria" w:eastAsia="ＭＳ 明朝" w:cs="Cambria" w:asciiTheme="minorHAnsi" w:hAnsiTheme="minorHAnsi" w:eastAsiaTheme="minorEastAsia"/>
          <w:b/>
          <w:bCs/>
          <w:i/>
          <w:iCs/>
          <w:sz w:val="22"/>
          <w:szCs w:val="22"/>
        </w:rPr>
        <w:t>AEC-128 curve derivation.—</w:t>
      </w:r>
      <w:r>
        <w:rPr>
          <w:rFonts w:ascii="Cambria" w:hAnsi="Cambria" w:eastAsia="ＭＳ 明朝" w:cs="Cambria" w:asciiTheme="minorHAnsi" w:hAnsiTheme="minorHAnsi" w:eastAsiaTheme="minorEastAsia"/>
          <w:b w:val="0"/>
          <w:bCs w:val="0"/>
          <w:i w:val="0"/>
          <w:iCs w:val="0"/>
          <w:sz w:val="22"/>
          <w:szCs w:val="22"/>
        </w:rPr>
        <w:t>The AEC curve was derived from each patient's raw CT series in four steps. First, among the multiple series present in a patient folder — the true axial acquisition, coronal/sagittal reformats, scout images, and dose reports — series with fewer than 20 slices, series whose DICOM ImageType contained DERIVED/REFORMATTED or whose SeriesDescription contained a reformat-related keyword (MPR, COR, CORONAL, SAG, SAGITTAL, SPO), and series that were not axial by ImageOrientationPatient were excluded, leaving only true axial series. Second, TotalSegmentator (11) was used to segment the liver and both hip bones on each remaining axial series; the most superior slice of the liver mask was set as the upper (liver) landmark and the most inferior slice of the combined hip mask as the lower (pubis) landmark, subject to quality-control criteria: liver mask ≥ 3000 voxels, with its median slice position more superior than the 30th percentile of the slice range. This segmentation step was used solely to localize the anatomical crop boundaries; the AEC signal itself was not a segmentation output but was read directly from the DICOM header's tube-current field (XRayTubeCurrent). Third, only series with both landmarks detected and in valid order — pubis position at or below the liver position — were retained, and the tube-current values within the pubis–liver range were extracted in that order. Fourth, because the raw cropped slice count varied by patient, each patient's cropped tube-current array was resampled by linear interpolation to 128 points, yielding the AEC-128 curve used as the final unit of analysis. As an opportunistic signal obtained as a byproduct of a CT scan already acquired for clinical indications, the AEC-128 curve required no additional radiation exposure to obtain. (Figure 2)</w:t>
      </w:r>
    </w:p>
    <w:p w14:paraId="7B73F04A">
      <w:pPr>
        <w:spacing w:before="200" w:after="0"/>
      </w:pPr>
      <w:r>
        <w:drawing>
          <wp:inline distT="0" distB="0" distL="0" distR="0">
            <wp:extent cx="5486400" cy="6962775"/>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12"/>
                    <a:stretch>
                      <a:fillRect/>
                    </a:stretch>
                  </pic:blipFill>
                  <pic:spPr>
                    <a:xfrm>
                      <a:off x="0" y="0"/>
                      <a:ext cx="5486400" cy="6962775"/>
                    </a:xfrm>
                    <a:prstGeom prst="rect">
                      <a:avLst/>
                    </a:prstGeom>
                  </pic:spPr>
                </pic:pic>
              </a:graphicData>
            </a:graphic>
          </wp:inline>
        </w:drawing>
      </w:r>
    </w:p>
    <w:p w14:paraId="79BAED2F">
      <w:pPr>
        <w:spacing w:before="0" w:after="200"/>
        <w:ind w:left="360"/>
      </w:pPr>
      <w:r>
        <w:rPr>
          <w:rFonts w:ascii="Cambria" w:hAnsi="Cambria" w:eastAsia="ＭＳ 明朝" w:cs="Cambria" w:asciiTheme="minorHAnsi" w:hAnsiTheme="minorHAnsi" w:eastAsiaTheme="minorEastAsia"/>
          <w:b/>
          <w:bCs/>
          <w:sz w:val="22"/>
          <w:szCs w:val="22"/>
        </w:rPr>
        <w:t xml:space="preserve">Figure 2. </w:t>
      </w:r>
      <w:r>
        <w:rPr>
          <w:rFonts w:ascii="Cambria" w:hAnsi="Cambria" w:eastAsia="ＭＳ 明朝" w:cs="Cambria" w:asciiTheme="minorHAnsi" w:hAnsiTheme="minorHAnsi" w:eastAsiaTheme="minorEastAsia"/>
          <w:sz w:val="22"/>
          <w:szCs w:val="22"/>
        </w:rPr>
        <w:t>AEC-128 shape-score construction; the Kneedle/elbow criterion (panel c) selected k=3 components (97.4% cumulative variance). Panels a, b, d–e, f are image-based curve/matrix data.</w:t>
      </w:r>
    </w:p>
    <w:p w14:paraId="4F0E385E">
      <w:pPr>
        <w:spacing w:before="200" w:line="276" w:lineRule="auto"/>
      </w:pPr>
      <w:r>
        <w:rPr>
          <w:rFonts w:ascii="Cambria" w:hAnsi="Cambria" w:eastAsia="ＭＳ 明朝" w:cs="Cambria" w:asciiTheme="minorHAnsi" w:hAnsiTheme="minorHAnsi" w:eastAsiaTheme="minorEastAsia"/>
          <w:b/>
          <w:bCs/>
          <w:i/>
          <w:iCs/>
          <w:sz w:val="22"/>
          <w:szCs w:val="22"/>
        </w:rPr>
        <w:t>Clinical and scan-level predictor variables.—</w:t>
      </w:r>
      <w:r>
        <w:rPr>
          <w:rFonts w:ascii="Cambria" w:hAnsi="Cambria" w:eastAsia="ＭＳ 明朝" w:cs="Cambria" w:asciiTheme="minorHAnsi" w:hAnsiTheme="minorHAnsi" w:eastAsiaTheme="minorEastAsia"/>
          <w:sz w:val="22"/>
          <w:szCs w:val="22"/>
        </w:rPr>
        <w:t>From the same clinical database, age (PatientAge), sex (PatientSex), height, and weight — collectively termed “clinic4” — were extracted as the baseline clinical predictor set. Two additional predictor sets were used to contextualize the incremental value of the AEC-derived score against progressively more informative baselines: (1) mean tube current (mean_mAs), the per-patient mean of the raw AEC-128 curve itself, representing scan-level dose/technique information without curve shape; and (2) summed visceral and subcutaneous fat volume (VAT, SAT), absolute CT-derived adiposity measures rather than a ratio. Age, height, weight, and, where included, mean_mAs/VAT/SAT were standardized (z-score) using parameters fit on the internal cohort and then applied, frozen, to the external cohort; sex was coded as a binary indicator (male = 1).</w:t>
      </w:r>
    </w:p>
    <w:p w14:paraId="61733826">
      <w:pPr>
        <w:spacing w:line="276" w:lineRule="auto"/>
      </w:pPr>
      <w:r>
        <w:rPr>
          <w:rFonts w:ascii="Cambria" w:hAnsi="Cambria" w:eastAsia="ＭＳ 明朝" w:cs="Cambria" w:asciiTheme="minorHAnsi" w:hAnsiTheme="minorHAnsi" w:eastAsiaTheme="minorEastAsia"/>
          <w:b/>
          <w:bCs/>
          <w:i/>
          <w:iCs/>
          <w:sz w:val="22"/>
          <w:szCs w:val="22"/>
        </w:rPr>
        <w:t>Outcome variables (HTN, DM, CKD).—</w:t>
      </w:r>
      <w:r>
        <w:rPr>
          <w:rFonts w:ascii="Cambria" w:hAnsi="Cambria" w:eastAsia="ＭＳ 明朝" w:cs="Cambria" w:asciiTheme="minorHAnsi" w:hAnsiTheme="minorHAnsi" w:eastAsiaTheme="minorEastAsia"/>
          <w:sz w:val="22"/>
          <w:szCs w:val="22"/>
        </w:rPr>
        <w:t>The outcome variables were the binary (present/absent) diagnoses of hypertension (HTN), diabetes mellitus (DM), and chronic kidney disease (CKD), drawn as already-adjudicated labels from the same clinical database used for cohort selection. No new dichotomization of a continuous measure was performed for these outcomes.</w:t>
      </w:r>
    </w:p>
    <w:p w14:paraId="32667C3F">
      <w:pPr>
        <w:pStyle w:val="Heading2"/>
      </w:pPr>
      <w:r>
        <w:rPr>
          <w:rFonts w:ascii="Calibri" w:hAnsi="Calibri" w:eastAsia="ＭＳ ゴシック" w:cs="Calibri" w:asciiTheme="majorHAnsi" w:hAnsiTheme="majorHAnsi" w:eastAsiaTheme="majorEastAsia"/>
          <w:b/>
          <w:bCs/>
          <w:color w:val="4F81BD"/>
          <w:sz w:val="26"/>
          <w:szCs w:val="26"/>
        </w:rPr>
        <w:t>Statistical Analysis</w:t>
      </w:r>
    </w:p>
    <w:p w14:paraId="3366A4B4">
      <w:pPr>
        <w:spacing w:line="276" w:lineRule="auto"/>
      </w:pPr>
      <w:r>
        <w:rPr>
          <w:rFonts w:ascii="Cambria" w:hAnsi="Cambria" w:eastAsia="ＭＳ 明朝" w:cs="Cambria" w:asciiTheme="minorHAnsi" w:hAnsiTheme="minorHAnsi" w:eastAsiaTheme="minorEastAsia"/>
          <w:sz w:val="22"/>
          <w:szCs w:val="22"/>
        </w:rPr>
        <w:t>Descriptive statistics were used to summarize baseline characteristics of the internal and external cohorts: continuous variables as means ± SDs compared with Welch’s t test, and categorical variables as counts and percentages compared with the chi-square test (Table 1). A single, disease-agnostic AEC shape score was derived once from the internal cohort's raw AEC-128 curves by fitting functional principal component analysis (FPCA) (12,13,14) and retaining the first k principal components, where k was chosen by a Kneedle/elbow criterion applied to the cumulative explained-variance curve (15), rather than by downstream predictive performance. This single, prespecified AEC score (FPCA PC1–k) was then used identically across all outcomes and all models; no per-disease reselection of curve-derived candidates was performed. (Figure 2c)</w:t>
      </w:r>
    </w:p>
    <w:p w14:paraId="40126E75">
      <w:pPr>
        <w:spacing w:line="276" w:lineRule="auto"/>
      </w:pPr>
      <w:r>
        <w:rPr>
          <w:rFonts w:ascii="Cambria" w:hAnsi="Cambria" w:eastAsia="ＭＳ 明朝" w:cs="Cambria" w:asciiTheme="minorHAnsi" w:hAnsiTheme="minorHAnsi" w:eastAsiaTheme="minorEastAsia"/>
          <w:sz w:val="22"/>
          <w:szCs w:val="22"/>
        </w:rPr>
        <w:t>For each outcome (HTN, DM, CKD), we compared two three-way nested families of logistic regression models. Family A progressed from clinic4 alone, to clinic4 plus mean_mAs, to clinic4 plus mean_mAs plus the AEC score. Family B progressed from clinic4 alone, to clinic4 plus VAT and SAT, to clinic4 plus VAT and SAT plus the AEC score. This design isolates the incremental contribution of the AEC score above and beyond two different, progressively richer baselines — one reflecting only scan-level technique information (mean_mAs), the other reflecting directly measured CT adiposity (VAT/SAT) — rather than testing the AEC score against the minimal clinic4 model alone.</w:t>
      </w:r>
    </w:p>
    <w:p w14:paraId="396BBAA6">
      <w:pPr>
        <w:spacing w:line="276" w:lineRule="auto"/>
      </w:pPr>
      <w:r>
        <w:rPr>
          <w:rFonts w:ascii="Cambria" w:hAnsi="Cambria" w:eastAsia="ＭＳ 明朝" w:cs="Cambria" w:asciiTheme="minorHAnsi" w:hAnsiTheme="minorHAnsi" w:eastAsiaTheme="minorEastAsia"/>
          <w:sz w:val="22"/>
          <w:szCs w:val="22"/>
        </w:rPr>
        <w:t>Stratified 5-fold cross-validation (reduced automatically when a class had fewer members) was applied to the internal cohort, and internal AUC was computed from out-of-fold (OOF) predicted probabilities. For models that included the AEC score, FPCA was refit independently within each fold's training partition only, to prevent leakage of validation-fold curve information into the eigenfunction estimate; standardization scalers were likewise fit on each fold's training partition. The external cohort was scored once, using the single model frozen after training on the full internal cohort.</w:t>
      </w:r>
    </w:p>
    <w:p w14:paraId="3BB69D73">
      <w:pPr>
        <w:spacing w:line="276" w:lineRule="auto"/>
      </w:pPr>
      <w:r>
        <w:rPr>
          <w:rFonts w:ascii="Cambria" w:hAnsi="Cambria" w:eastAsia="ＭＳ 明朝" w:cs="Cambria" w:asciiTheme="minorHAnsi" w:hAnsiTheme="minorHAnsi" w:eastAsiaTheme="minorEastAsia"/>
          <w:sz w:val="22"/>
          <w:szCs w:val="22"/>
        </w:rPr>
        <w:t>The area-under-the-curve (AUC) difference between each pair of adjacent models within a family (e.g., clinic4 vs. clinic4+mean_mAs; clinic4+mean_mAs vs. clinic4+mean_mAs+AEC) was tested with a paired DeLong test (16,17), performed independently for the internal and external cohorts, for a total of four nested comparisons per outcome. The classification threshold for each model was set at the point maximizing Youden's J index (sensitivity + specificity − 1) (18) on that model's internal OOF receiver operating characteristic curve, then applied, fixed, to the external cohort to compute sensitivity, specificity, and accuracy. AUC was additionally recomputed within scanner-manufacturer subgroups, re-slicing the already-computed predicted probabilities without retraining, to assess whether results were confined to a particular scanner model. A two-sided P &lt; .05 was considered to indicate statistical significance. To address the issue of multiple testing, Bonferroni correction was applied across the 24 DeLong tests performed (3 outcomes × 2 families × 4 nested comparisons × 2 cohorts), with statistical significance defined at α/24, i.e., α divided by 24, .0021 instead of .05. Statistical and computational analyses were performed in Python (version 3.13.9; Python Software Foundation) using scikit-learn (version 1.7.2), SciPy (version 1.16.2), NumPy (version 2.2.6), and pandas (version 2.3.3).</w:t>
      </w:r>
    </w:p>
    <w:p w14:paraId="4ADF3B4C">
      <w:pPr>
        <w:pStyle w:val="Heading1"/>
      </w:pPr>
      <w:r>
        <w:rPr>
          <w:rFonts w:ascii="Calibri" w:hAnsi="Calibri" w:eastAsia="ＭＳ ゴシック" w:cs="Calibri" w:asciiTheme="majorHAnsi" w:hAnsiTheme="majorHAnsi" w:eastAsiaTheme="majorEastAsia"/>
          <w:b/>
          <w:bCs/>
          <w:color w:val="376092"/>
          <w:sz w:val="28"/>
          <w:szCs w:val="28"/>
        </w:rPr>
        <w:t>Results</w:t>
      </w:r>
    </w:p>
    <w:p w14:paraId="55DE128C">
      <w:pPr>
        <w:pStyle w:val="Heading2"/>
      </w:pPr>
      <w:r>
        <w:rPr>
          <w:rFonts w:ascii="Calibri" w:hAnsi="Calibri" w:eastAsia="ＭＳ ゴシック" w:cs="Calibri" w:asciiTheme="majorHAnsi" w:hAnsiTheme="majorHAnsi" w:eastAsiaTheme="majorEastAsia"/>
          <w:b/>
          <w:bCs/>
          <w:color w:val="4F81BD"/>
          <w:sz w:val="26"/>
          <w:szCs w:val="26"/>
        </w:rPr>
        <w:t>Patient Characteristics</w:t>
      </w:r>
    </w:p>
    <w:p w14:paraId="6A2A27B9">
      <w:pPr>
        <w:spacing w:line="276" w:lineRule="auto"/>
      </w:pPr>
      <w:r>
        <w:rPr>
          <w:rFonts w:ascii="Cambria" w:hAnsi="Cambria" w:eastAsia="ＭＳ 明朝" w:cs="Cambria" w:asciiTheme="minorHAnsi" w:hAnsiTheme="minorHAnsi" w:eastAsiaTheme="minorEastAsia"/>
          <w:sz w:val="22"/>
          <w:szCs w:val="22"/>
        </w:rPr>
        <w:t>After exclusions, 1088 patients formed the internal cohort and 925 formed the external cohort. Hypertension, diabetes, and chronic kidney disease were, respectively, more prevalent in the external than in the internal cohort (HTN 45.9% vs. 30.2%; DM 30.8% vs. 18.8%; CKD 18.2% vs. 7.6%).</w:t>
      </w:r>
      <w:r>
        <w:rPr>
          <w:rFonts w:ascii="Cambria" w:hAnsi="Cambria" w:eastAsia="ＭＳ 明朝" w:cs="Cambria" w:asciiTheme="minorHAnsi" w:hAnsiTheme="minorHAnsi" w:eastAsiaTheme="minorEastAsia"/>
          <w:b/>
          <w:bCs/>
          <w:sz w:val="22"/>
          <w:szCs w:val="22"/>
        </w:rPr>
        <w:t xml:space="preserve"> (Table 1)</w:t>
      </w:r>
    </w:p>
    <w:p w14:paraId="7F4A3BF0">
      <w:pPr>
        <w:pStyle w:val="Heading2"/>
      </w:pPr>
      <w:r>
        <w:rPr>
          <w:rFonts w:ascii="Calibri" w:hAnsi="Calibri" w:eastAsia="ＭＳ ゴシック" w:cs="Calibri" w:asciiTheme="majorHAnsi" w:hAnsiTheme="majorHAnsi" w:eastAsiaTheme="majorEastAsia"/>
          <w:b/>
          <w:bCs/>
          <w:color w:val="4F81BD"/>
          <w:sz w:val="26"/>
          <w:szCs w:val="26"/>
        </w:rPr>
        <w:t>AEC Score and Diagnostic Classification of Hypertension, Diabetes, and Chronic Kidney Disease</w:t>
      </w:r>
    </w:p>
    <w:p w14:paraId="70E27C71">
      <w:pPr>
        <w:spacing w:line="276" w:lineRule="auto"/>
      </w:pPr>
      <w:r>
        <w:rPr>
          <w:rFonts w:ascii="Cambria" w:hAnsi="Cambria" w:eastAsia="ＭＳ 明朝" w:cs="Cambria" w:asciiTheme="minorHAnsi" w:hAnsiTheme="minorHAnsi" w:eastAsiaTheme="minorEastAsia"/>
          <w:sz w:val="22"/>
          <w:szCs w:val="22"/>
        </w:rPr>
        <w:t>In Family A (clinic4 → +mean_mAs → +mean_mAs+AEC), adding the AEC score to clinic4+mean_mAs improved AUC for diabetes in both the internal cohort (0.726 → 0.748, Δ=+0.022, nominal P=.012) and the external cohort (0.663 → 0.699, Δ=+0.036, P&lt;.001) and for chronic kidney disease in the external cohort (0.613 → 0.643, Δ=+0.031, P&lt;.001; internal 0.798 → 0.809, Δ=+0.010, P=.32, not significant). After Bonferroni correction for the 24 DeLong tests performed (α=.0021), only the external-cohort improvements for diabetes and chronic kidney disease remained significant; the internal-cohort improvement for diabetes (nominal P=.012) and the external-cohort improvement for hypertension (0.718 → 0.731, Δ=+0.012, nominal P=.011; internal 0.813 → 0.818, Δ=+0.005, P=.25) did not survive correction.</w:t>
      </w:r>
    </w:p>
    <w:p w14:paraId="7375F718">
      <w:pPr>
        <w:spacing w:after="200" w:line="276" w:lineRule="auto"/>
      </w:pPr>
      <w:r>
        <w:rPr>
          <w:rFonts w:ascii="Cambria" w:hAnsi="Cambria" w:eastAsia="ＭＳ 明朝" w:cs="Cambria" w:asciiTheme="minorHAnsi" w:hAnsiTheme="minorHAnsi" w:eastAsiaTheme="minorEastAsia"/>
          <w:sz w:val="22"/>
          <w:szCs w:val="22"/>
        </w:rPr>
        <w:t>In Family B (clinic4 → +VAT+SAT → +VAT+SAT+AEC), adding the AEC score improved AUC for diabetes in both cohorts (internal 0.731 → 0.746, Δ=+0.014, nominal P=.048; external 0.674 → 0.699, Δ=+0.024, nominal P=.002) and for chronic kidney disease in the external cohort (0.621 → 0.637, Δ=+0.016, nominal P=.036; internal P=.61). After Bonferroni correction, only the external-cohort improvement for diabetes remained significant (P=.0016 &lt; α=.0021); the internal-cohort diabetes improvement, the external-cohort chronic kidney disease improvement, and the hypertension increment in either cohort (internal P=.54; external P=.19) did not survive correction.</w:t>
      </w:r>
    </w:p>
    <w:p w14:paraId="78D07E02">
      <w:pPr>
        <w:spacing w:before="200" w:after="0"/>
      </w:pPr>
      <w:r>
        <w:drawing>
          <wp:inline distT="0" distB="0" distL="0" distR="0">
            <wp:extent cx="5486400" cy="2362200"/>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13"/>
                    <a:stretch>
                      <a:fillRect/>
                    </a:stretch>
                  </pic:blipFill>
                  <pic:spPr>
                    <a:xfrm>
                      <a:off x="0" y="0"/>
                      <a:ext cx="5486400" cy="2362200"/>
                    </a:xfrm>
                    <a:prstGeom prst="rect">
                      <a:avLst/>
                    </a:prstGeom>
                  </pic:spPr>
                </pic:pic>
              </a:graphicData>
            </a:graphic>
          </wp:inline>
        </w:drawing>
      </w:r>
    </w:p>
    <w:p w14:paraId="03FFE801">
      <w:pPr>
        <w:spacing w:before="0" w:after="0"/>
      </w:pPr>
      <w:r>
        <w:drawing>
          <wp:inline distT="0" distB="0" distL="0" distR="0">
            <wp:extent cx="5486400" cy="2362200"/>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14"/>
                    <a:stretch>
                      <a:fillRect/>
                    </a:stretch>
                  </pic:blipFill>
                  <pic:spPr>
                    <a:xfrm>
                      <a:off x="0" y="0"/>
                      <a:ext cx="5486400" cy="2362200"/>
                    </a:xfrm>
                    <a:prstGeom prst="rect">
                      <a:avLst/>
                    </a:prstGeom>
                  </pic:spPr>
                </pic:pic>
              </a:graphicData>
            </a:graphic>
          </wp:inline>
        </w:drawing>
      </w:r>
    </w:p>
    <w:p w14:paraId="215A48B3">
      <w:pPr>
        <w:spacing w:before="0" w:after="200"/>
      </w:pPr>
      <w:r>
        <w:rPr>
          <w:rFonts w:ascii="Cambria" w:hAnsi="Cambria" w:eastAsia="ＭＳ 明朝" w:cs="Arial" w:asciiTheme="minorHAnsi" w:hAnsiTheme="minorHAnsi" w:eastAsiaTheme="minorEastAsia" w:csTheme="minorBidi"/>
          <w:sz w:val="22"/>
          <w:szCs w:val="22"/>
        </w:rPr>
        <w:t>Figure 3. AUC by outcome, model, and cohort for Family A (clinic4, +mean_mAs, +mean_mAs+AEC) and Family B (clinic4, +VAT+SAT, +VAT+SAT+AEC).</w:t>
      </w:r>
    </w:p>
    <w:p w14:paraId="5757B373">
      <w:pPr>
        <w:pStyle w:val="Heading2"/>
        <w:spacing w:before="200"/>
      </w:pPr>
      <w:r>
        <w:rPr>
          <w:rFonts w:ascii="Calibri" w:hAnsi="Calibri" w:eastAsia="ＭＳ ゴシック" w:cs="Calibri" w:asciiTheme="majorHAnsi" w:hAnsiTheme="majorHAnsi" w:eastAsiaTheme="majorEastAsia"/>
          <w:b/>
          <w:bCs/>
          <w:color w:val="4F81BD"/>
          <w:sz w:val="26"/>
          <w:szCs w:val="26"/>
        </w:rPr>
        <w:t>Sensitivity, Specificity, and Accuracy at the Youden-Optimal Threshold</w:t>
      </w:r>
    </w:p>
    <w:p w14:paraId="5B68AD11">
      <w:pPr>
        <w:spacing w:line="276" w:lineRule="auto"/>
      </w:pPr>
      <w:r>
        <w:rPr>
          <w:rFonts w:ascii="Cambria" w:hAnsi="Cambria" w:eastAsia="ＭＳ 明朝" w:cs="Cambria" w:asciiTheme="minorHAnsi" w:hAnsiTheme="minorHAnsi" w:eastAsiaTheme="minorEastAsia"/>
          <w:sz w:val="22"/>
          <w:szCs w:val="22"/>
        </w:rPr>
        <w:t>At the internal-OOF Youden-optimal threshold applied frozen to the external cohort, the fully augmented models (clinic4+mean_mAs+AEC and clinic4+VAT+SAT+AEC) achieved external sensitivity/specificity for Family A of 67.1%/69.4% for hypertension, 80.7%/50.8% for diabetes, and 63.7%/54.2% for chronic kidney disease; corresponding Family B values were 77.4%/58.8%, 81.1%/49.4%, and 68.5%/49.0%. Across outcomes, models augmented with the AEC score tended toward higher sensitivity and lower specificity than their non-AEC counterparts at the same fixed operating point.</w:t>
      </w:r>
      <w:r>
        <w:rPr>
          <w:rFonts w:ascii="Cambria" w:hAnsi="Cambria" w:eastAsia="ＭＳ 明朝" w:cs="Cambria" w:asciiTheme="minorHAnsi" w:hAnsiTheme="minorHAnsi" w:eastAsiaTheme="minorEastAsia"/>
          <w:b/>
          <w:bCs/>
          <w:sz w:val="22"/>
          <w:szCs w:val="22"/>
        </w:rPr>
      </w:r>
    </w:p>
    <w:p w14:paraId="56E338A9">
      <w:pPr>
        <w:pStyle w:val="Heading1"/>
      </w:pPr>
      <w:r>
        <w:rPr>
          <w:rFonts w:ascii="Calibri" w:hAnsi="Calibri" w:eastAsia="ＭＳ ゴシック" w:cs="Calibri" w:asciiTheme="majorHAnsi" w:hAnsiTheme="majorHAnsi" w:eastAsiaTheme="majorEastAsia"/>
          <w:b/>
          <w:bCs/>
          <w:color w:val="376092"/>
          <w:sz w:val="28"/>
          <w:szCs w:val="28"/>
        </w:rPr>
        <w:t>Discussion</w:t>
      </w:r>
    </w:p>
    <w:p w14:paraId="39C5217F">
      <w:pPr>
        <w:spacing w:line="276" w:lineRule="auto"/>
      </w:pPr>
      <w:r>
        <w:rPr>
          <w:rFonts w:ascii="Cambria" w:hAnsi="Cambria" w:eastAsia="ＭＳ 明朝" w:cs="Cambria" w:asciiTheme="minorHAnsi" w:hAnsiTheme="minorHAnsi" w:eastAsiaTheme="minorEastAsia"/>
          <w:sz w:val="22"/>
          <w:szCs w:val="22"/>
        </w:rPr>
        <w:t>In this two-institution retrospective cohort study, adding a prespecified AEC-128 shape score to clinical models of two different levels of complexity improved diagnostic classification of diabetes and chronic kidney disease in the independent, frozen external-validation cohort, surviving Bonferroni correction for the 24 DeLong tests performed. The diabetes improvement was consistent in direction against both baselines — clinic4+mean_mAs and clinic4+VAT+SAT — in the external cohort; the corresponding internal-cohort improvement for diabetes, and the external-cohort improvement for hypertension, were nominally significant (P&lt;.05) but did not survive correction and are reported as exploratory. These gains were achieved with a score that requires no additional image acquisition, radiation exposure, or dedicated segmentation beyond what the scanner already records for dose-management purposes.</w:t>
      </w:r>
    </w:p>
    <w:p w14:paraId="75BE3DE1">
      <w:pPr>
        <w:spacing w:line="276" w:lineRule="auto"/>
      </w:pPr>
      <w:r>
        <w:rPr>
          <w:rFonts w:ascii="Cambria" w:hAnsi="Cambria" w:eastAsia="ＭＳ 明朝" w:cs="Cambria" w:asciiTheme="minorHAnsi" w:hAnsiTheme="minorHAnsi" w:eastAsiaTheme="minorEastAsia"/>
          <w:sz w:val="22"/>
          <w:szCs w:val="22"/>
        </w:rPr>
        <w:t>We would particularly like to highlight the diabetes result in the external cohort. After Bonferroni correction, it was the only outcome-cohort combination in which the AEC score improved AUC significantly against both baselines — that is, added information beyond scan-level tube-current alone and beyond directly measured visceral and subcutaneous fat volume. Because the external cohort was drawn from a different hospital with a deliberately unfiltered, more heterogeneous mix of scanner vendors, and because the number of FPCA components retained for the AEC score was fixed a priori on the internal cohort alone, this cross-baseline external reproducibility is, in our view, the most robust result of this study: it suggests the AEC-128 curve reflects a real, generalizable property of the patient rather than a scanner- or cohort-specific artifact. The corresponding internal-cohort improvement for diabetes was nominally significant (P=.012–.048) but did not survive Bonferroni correction, and should be interpreted as supportive rather than confirmatory; the external cohort's higher disease prevalence (30.8% vs. 18.8% for diabetes) likely afforded greater statistical power to detect a true but modest effect, which is a more parsimonious explanation than a fundamentally different mechanism between cohorts. The Bonferroni-significant chronic kidney disease improvement, seen only in the external cohort’s Family A, and the nominally significant but uncorrected hypertension improvement in that same external-cohort Family A follow the same pattern of an external-cohort-driven, prevalence-related power advantage.</w:t>
      </w:r>
    </w:p>
    <w:p w14:paraId="72340369">
      <w:pPr>
        <w:spacing w:line="276" w:lineRule="auto"/>
      </w:pPr>
      <w:r>
        <w:rPr>
          <w:rFonts w:ascii="Cambria" w:hAnsi="Cambria" w:eastAsia="ＭＳ 明朝" w:cs="Cambria" w:asciiTheme="minorHAnsi" w:hAnsiTheme="minorHAnsi" w:eastAsiaTheme="minorEastAsia"/>
          <w:sz w:val="22"/>
          <w:szCs w:val="22"/>
        </w:rPr>
        <w:t>Prior literature on the AEC / tube-current-modulation curve is, to our knowledge, essentially absent as a source of clinical biomarkers. The existing body of work has instead concentrated almost entirely on using the curve — or the patient-size information it encodes — to reduce or better estimate radiation dose: validating z-axis modulation itself (4), cataloguing available dose-reduction and dose-management tools (5), deriving size-specific dose estimates from regional attenuation (6–8), and, most recently, predicting per-organ radiation dose directly from scout and tube-current-modulation data using deep learning (10). None of these studies asked whether the curve itself, independent of its role in dose management, carries diagnostic information about the patient's cardiometabolic health. The present study is, to our knowledge, among the first to repurpose this ubiquitous but previously overlooked signal as a biomarker rather than solely as a dose-management tool.</w:t>
      </w:r>
    </w:p>
    <w:p w14:paraId="0A92251B">
      <w:pPr>
        <w:spacing w:line="276" w:lineRule="auto"/>
      </w:pPr>
      <w:r>
        <w:rPr>
          <w:rFonts w:ascii="Cambria" w:hAnsi="Cambria" w:eastAsia="ＭＳ 明朝" w:cs="Cambria" w:asciiTheme="minorHAnsi" w:hAnsiTheme="minorHAnsi" w:eastAsiaTheme="minorEastAsia"/>
          <w:sz w:val="22"/>
          <w:szCs w:val="22"/>
        </w:rPr>
        <w:t>This reframing is attractive for a simple practical reason: the AEC curve is, in effect, free. It is recorded automatically on nearly every clinical CT scan regardless of the indication for which the scan was ordered, requiring no additional radiation, scan time, or acquisition cost, and — as implemented here — no reconstructed-image segmentation, since the signal is read directly from the DICOM header. This is the same opportunistic-screening logic that has been advocated for image-derived CT body-composition biomarkers (2), extended to a scanner byproduct that has so far been discarded as mere acquisition metadata rather than treated as a source of additional clinical information.</w:t>
      </w:r>
    </w:p>
    <w:p w14:paraId="0FB7AA6A">
      <w:pPr>
        <w:spacing w:line="276" w:lineRule="auto"/>
      </w:pPr>
      <w:r>
        <w:rPr>
          <w:rFonts w:ascii="Cambria" w:hAnsi="Cambria" w:eastAsia="ＭＳ 明朝" w:cs="Cambria" w:asciiTheme="minorHAnsi" w:hAnsiTheme="minorHAnsi" w:eastAsiaTheme="minorEastAsia"/>
          <w:sz w:val="22"/>
          <w:szCs w:val="22"/>
        </w:rPr>
        <w:t>Several limitations should be considered. First, unadjusted associations between the AEC curve and cardiometabolic outcomes are susceptible to confounding by overall body size; because the clinic4+VAT+SAT family already includes directly measured adiposity and the AEC score still added significant incremental value for diabetes on top of it, gross adiposity confounding alone does not appear to fully explain the effect, but more granular body-size residualization was not performed and warrants sensitivity analysis in future work. Second, hypertension and chronic kidney disease did not show a significant AEC increment in the internal cohort in either model family, only externally; whether this reflects a power difference driven by the external cohort's higher prevalence, or a cohort-specific effect, cannot be distinguished with the present design. Third, both cohorts were drawn from two tertiary-care hospitals within a single healthcare system, which may limit generalizability to other populations or acquisition protocols. Fourth, outcome ascertainment relied on diagnoses already recorded in the clinical database rather than protocol-driven, de novo testing at a fixed time point, which may introduce misclassification or lead-time differences. Fifth, the number of FPCA components retained for the AEC score was fixed a priori by an elbow criterion on the internal cohort's curves rather than optimized against outcome performance; a different component count could plausibly yield different — potentially larger — improvements. Finally, although Bonferroni correction was applied across the 24 DeLong tests performed (3 outcomes × 2 families × 4 nested comparisons × 2 cohorts, α=.0021), this is a conservative approach given the correlated nature of the nested, non-independent comparisons; the internal-cohort diabetes improvement and the external-cohort hypertension improvement, while nominally significant (P&lt;.05), did not survive correction and should accordingly be interpreted as hypothesis-generating rather than confirmatory pending replication in an adequately powered cohort. The scanner-subgroup variability observed for chronic kidney disease (per-scanner AUC range up to 0.29, driven by subgroups with very few positive cases) is a related caveat specific to that outcome.</w:t>
      </w:r>
    </w:p>
    <w:p w14:paraId="325E7BDA">
      <w:pPr>
        <w:spacing w:line="276" w:lineRule="auto"/>
      </w:pPr>
      <w:r>
        <w:rPr>
          <w:rFonts w:ascii="Cambria" w:hAnsi="Cambria" w:eastAsia="ＭＳ 明朝" w:cs="Cambria" w:asciiTheme="minorHAnsi" w:hAnsiTheme="minorHAnsi" w:eastAsiaTheme="minorEastAsia"/>
          <w:sz w:val="22"/>
          <w:szCs w:val="22"/>
        </w:rPr>
        <w:t>In conclusion, the AEC-128 tube-current modulation curve — a signal already recorded on essentially every clinical CT scan but previously used only for radiation-dose management — showed a small but, after Bonferroni correction for multiple comparisons, statistically robust incremental diagnostic value for diabetes and chronic kidney disease in the external-validation cohort, with a directionally consistent but not Bonferroni-significant signal for diabetes in the internal cohort. Given its negligible marginal acquisition cost, the AEC curve merits further evaluation, including validation in larger, more diverse multi-institutional cohorts with adequate power to confirm the internal-cohort signal and the chronic-kidney-disease finding across scanner subgroups, body-size-adjusted feature construction, and confirmation of a mechanism, as a genuinely opportunistic addition to CT-based cardiometabolic risk screening.</w:t>
      </w:r>
    </w:p>
    <w:p w14:paraId="23287900">
      <w:pPr>
        <w:spacing w:line="276" w:lineRule="auto"/>
      </w:pPr>
      <w:r>
        <w:rPr>
          <w:rFonts w:ascii="Cambria" w:hAnsi="Cambria" w:eastAsia="ＭＳ 明朝" w:cs="Cambria" w:asciiTheme="minorHAnsi" w:hAnsiTheme="minorHAnsi" w:eastAsiaTheme="minorEastAsia"/>
          <w:i/>
          <w:iCs/>
          <w:color w:val="C00000"/>
          <w:sz w:val="22"/>
          <w:szCs w:val="22"/>
        </w:rPr>
        <w:t>[PLACEHOLDER] Confirm final citation details (volume/page/DOI) for all references below before submission; add any additional references co-authors request.</w:t>
      </w:r>
    </w:p>
    <w:p w14:paraId="32DF698B">
      <w:pPr>
        <w:pStyle w:val="Heading2"/>
      </w:pPr>
      <w:r>
        <w:rPr>
          <w:rFonts w:ascii="Calibri" w:hAnsi="Calibri" w:eastAsia="ＭＳ ゴシック" w:cs="Calibri" w:asciiTheme="majorHAnsi" w:hAnsiTheme="majorHAnsi" w:eastAsiaTheme="majorEastAsia"/>
          <w:b/>
          <w:bCs/>
          <w:color w:val="4F81BD"/>
          <w:sz w:val="26"/>
          <w:szCs w:val="26"/>
        </w:rPr>
        <w:t>References (Introduction / Materials and Methods / Discussion)</w:t>
      </w:r>
    </w:p>
    <w:p w14:paraId="700EDD3D">
      <w:pPr>
        <w:spacing w:line="276" w:lineRule="auto"/>
      </w:pPr>
      <w:r>
        <w:rPr>
          <w:rFonts w:ascii="Cambria" w:hAnsi="Cambria" w:eastAsia="ＭＳ 明朝" w:cs="Cambria" w:asciiTheme="minorHAnsi" w:hAnsiTheme="minorHAnsi" w:eastAsiaTheme="minorEastAsia"/>
          <w:sz w:val="22"/>
          <w:szCs w:val="22"/>
        </w:rPr>
        <w:t>1. Chang Y, Yoon SH, Kwon R, et al. Automated Comprehensive CT Assessment of the Risk of Diabetes and Associated Cardiometabolic Conditions. Radiology 2024;312(2):e233410.</w:t>
      </w:r>
    </w:p>
    <w:p w14:paraId="682F7E69">
      <w:pPr>
        <w:spacing w:line="276" w:lineRule="auto"/>
      </w:pPr>
      <w:r>
        <w:rPr>
          <w:rFonts w:ascii="Cambria" w:hAnsi="Cambria" w:eastAsia="ＭＳ 明朝" w:cs="Cambria" w:asciiTheme="minorHAnsi" w:hAnsiTheme="minorHAnsi" w:eastAsiaTheme="minorEastAsia"/>
          <w:sz w:val="22"/>
          <w:szCs w:val="22"/>
        </w:rPr>
        <w:t>2. Pickhardt PJ. Value-added Opportunistic CT Screening: State of the Art. Radiology 2022;303(2):241-254.</w:t>
      </w:r>
    </w:p>
    <w:p w14:paraId="5FE47350">
      <w:pPr>
        <w:spacing w:line="276" w:lineRule="auto"/>
      </w:pPr>
      <w:r>
        <w:rPr>
          <w:rFonts w:ascii="Cambria" w:hAnsi="Cambria" w:eastAsia="ＭＳ 明朝" w:cs="Cambria" w:asciiTheme="minorHAnsi" w:hAnsiTheme="minorHAnsi" w:eastAsiaTheme="minorEastAsia"/>
          <w:sz w:val="22"/>
          <w:szCs w:val="22"/>
        </w:rPr>
        <w:t>3. Pickhardt PJ, Summers RM, Garrett JW, et al. Opportunistic Screening: Radiology Scientific Expert Panel. Radiology 2023;307(5):e222044.</w:t>
      </w:r>
    </w:p>
    <w:p w14:paraId="548E31C5">
      <w:pPr>
        <w:spacing w:line="276" w:lineRule="auto"/>
      </w:pPr>
      <w:r>
        <w:rPr>
          <w:rFonts w:ascii="Cambria" w:hAnsi="Cambria" w:eastAsia="ＭＳ 明朝" w:cs="Cambria" w:asciiTheme="minorHAnsi" w:hAnsiTheme="minorHAnsi" w:eastAsiaTheme="minorEastAsia"/>
          <w:sz w:val="22"/>
          <w:szCs w:val="22"/>
        </w:rPr>
        <w:t>4. Kalra MK, Maher MM, Toth TL, et al. Comparison of Z-axis automatic tube current modulation technique with fixed tube current CT scanning of abdomen and pelvis. Radiology 2004;232:347-353.</w:t>
      </w:r>
    </w:p>
    <w:p w14:paraId="69FC6A10">
      <w:pPr>
        <w:spacing w:line="276" w:lineRule="auto"/>
      </w:pPr>
      <w:r>
        <w:rPr>
          <w:rFonts w:ascii="Cambria" w:hAnsi="Cambria" w:eastAsia="ＭＳ 明朝" w:cs="Cambria" w:asciiTheme="minorHAnsi" w:hAnsiTheme="minorHAnsi" w:eastAsiaTheme="minorEastAsia"/>
          <w:sz w:val="22"/>
          <w:szCs w:val="22"/>
        </w:rPr>
        <w:t>5. McCollough CH, Bruesewitz MR, Kofler JM Jr. CT dose reduction and dose management tools: overview of available options. RadioGraphics 2006;26(2):503-512.</w:t>
      </w:r>
    </w:p>
    <w:p w14:paraId="0F3F30F4">
      <w:pPr>
        <w:spacing w:line="276" w:lineRule="auto"/>
      </w:pPr>
      <w:r>
        <w:rPr>
          <w:rFonts w:ascii="Cambria" w:hAnsi="Cambria" w:eastAsia="ＭＳ 明朝" w:cs="Cambria" w:asciiTheme="minorHAnsi" w:hAnsiTheme="minorHAnsi" w:eastAsiaTheme="minorEastAsia"/>
          <w:sz w:val="22"/>
          <w:szCs w:val="22"/>
        </w:rPr>
        <w:t>6. Bostani M, McMillan K, Lu P, Kim HJ, Cagnon CH, DeMarco JJ, McNitt-Gray MF. Attenuation-based size metric for estimating organ dose to patients undergoing tube current modulated CT exams. Med Phys 2015;42(2):958-968.</w:t>
      </w:r>
    </w:p>
    <w:p w14:paraId="2FD50D2D">
      <w:pPr>
        <w:spacing w:line="276" w:lineRule="auto"/>
      </w:pPr>
      <w:r>
        <w:rPr>
          <w:rFonts w:ascii="Cambria" w:hAnsi="Cambria" w:eastAsia="ＭＳ 明朝" w:cs="Cambria" w:asciiTheme="minorHAnsi" w:hAnsiTheme="minorHAnsi" w:eastAsiaTheme="minorEastAsia"/>
          <w:sz w:val="22"/>
          <w:szCs w:val="22"/>
        </w:rPr>
        <w:t>7. Boone JM, Strauss KJ, Cody DD, et al. Size-Specific Dose Estimates (SSDE) in Pediatric and Adult Body CT Examinations. AAPM Report No. 204. American Association of Physicists in Medicine; 2011.</w:t>
      </w:r>
    </w:p>
    <w:p w14:paraId="524AE25C">
      <w:pPr>
        <w:spacing w:line="276" w:lineRule="auto"/>
      </w:pPr>
      <w:r>
        <w:rPr>
          <w:rFonts w:ascii="Cambria" w:hAnsi="Cambria" w:eastAsia="ＭＳ 明朝" w:cs="Cambria" w:asciiTheme="minorHAnsi" w:hAnsiTheme="minorHAnsi" w:eastAsiaTheme="minorEastAsia"/>
          <w:sz w:val="22"/>
          <w:szCs w:val="22"/>
        </w:rPr>
        <w:t>8. Li X, Marschall TA, Yang K, Liu B. Technical note: Advancing size-specific dose estimates in CT examinations: Dose estimates at longitudinal positions of scans. Med Phys 2022;49(2):1303-1311.</w:t>
      </w:r>
    </w:p>
    <w:p w14:paraId="33B70925">
      <w:pPr>
        <w:spacing w:line="276" w:lineRule="auto"/>
      </w:pPr>
      <w:r>
        <w:rPr>
          <w:rFonts w:ascii="Cambria" w:hAnsi="Cambria" w:eastAsia="ＭＳ 明朝" w:cs="Cambria" w:asciiTheme="minorHAnsi" w:hAnsiTheme="minorHAnsi" w:eastAsiaTheme="minorEastAsia"/>
          <w:sz w:val="22"/>
          <w:szCs w:val="22"/>
        </w:rPr>
        <w:t>9. Pickhardt PJ, Graffy PM, Zea R, et al. Utilizing Fully Automated Abdominal CT-Based Biomarkers for Opportunistic Screening for Metabolic Syndrome in Adults Without Symptoms. AJR Am J Roentgenol 2021;216(1):85-92.</w:t>
      </w:r>
    </w:p>
    <w:p w14:paraId="5FB5D104">
      <w:pPr>
        <w:spacing w:line="276" w:lineRule="auto"/>
      </w:pPr>
      <w:r>
        <w:rPr>
          <w:rFonts w:ascii="Cambria" w:hAnsi="Cambria" w:eastAsia="ＭＳ 明朝" w:cs="Cambria" w:asciiTheme="minorHAnsi" w:hAnsiTheme="minorHAnsi" w:eastAsiaTheme="minorEastAsia"/>
          <w:sz w:val="22"/>
          <w:szCs w:val="22"/>
        </w:rPr>
        <w:t>10. Medrano MJ, et al. Scout-Dose-TCM: Direct and Prospective Scout-Based Estimation of Personalized Organ Doses from Tube Current Modulated CT Exams. arXiv:2506.24062, 2025.</w:t>
      </w:r>
    </w:p>
    <w:p w14:paraId="27AFA087">
      <w:pPr>
        <w:spacing w:line="276" w:lineRule="auto"/>
      </w:pPr>
      <w:r>
        <w:rPr>
          <w:rFonts w:ascii="Cambria" w:hAnsi="Cambria" w:eastAsia="ＭＳ 明朝" w:cs="Cambria" w:asciiTheme="minorHAnsi" w:hAnsiTheme="minorHAnsi" w:eastAsiaTheme="minorEastAsia"/>
          <w:sz w:val="22"/>
          <w:szCs w:val="22"/>
        </w:rPr>
        <w:t>11. Wasserthal J, Breit HC, Meyer MT, et al. TotalSegmentator: Robust Segmentation of 104 Anatomic Structures in CT Images. Radiol Artif Intell 2023;5(5):e230024.</w:t>
      </w:r>
    </w:p>
    <w:p w14:paraId="72A1070B">
      <w:pPr>
        <w:spacing w:line="276" w:lineRule="auto"/>
      </w:pPr>
      <w:r>
        <w:rPr>
          <w:rFonts w:ascii="Cambria" w:hAnsi="Cambria" w:eastAsia="ＭＳ 明朝" w:cs="Cambria" w:asciiTheme="minorHAnsi" w:hAnsiTheme="minorHAnsi" w:eastAsiaTheme="minorEastAsia"/>
          <w:sz w:val="22"/>
          <w:szCs w:val="22"/>
        </w:rPr>
        <w:t>12. Ramsay JO, Silverman BW. Functional Data Analysis. 2nd ed. Springer; 2005.</w:t>
      </w:r>
    </w:p>
    <w:p w14:paraId="23D166C5">
      <w:pPr>
        <w:spacing w:line="276" w:lineRule="auto"/>
      </w:pPr>
      <w:r>
        <w:rPr>
          <w:rFonts w:ascii="Cambria" w:hAnsi="Cambria" w:eastAsia="ＭＳ 明朝" w:cs="Cambria" w:asciiTheme="minorHAnsi" w:hAnsiTheme="minorHAnsi" w:eastAsiaTheme="minorEastAsia"/>
          <w:sz w:val="22"/>
          <w:szCs w:val="22"/>
        </w:rPr>
        <w:t>13. Shi B, Wang T, Tu W, et al. Functional principal component based landmark analysis for the effects of longitudinal cholesterol profiles on the risk of coronary heart disease. Stat Med 2021;40(3):650-667.</w:t>
      </w:r>
    </w:p>
    <w:p w14:paraId="78063082">
      <w:pPr>
        <w:spacing w:line="276" w:lineRule="auto"/>
      </w:pPr>
      <w:r>
        <w:rPr>
          <w:rFonts w:ascii="Cambria" w:hAnsi="Cambria" w:eastAsia="ＭＳ 明朝" w:cs="Cambria" w:asciiTheme="minorHAnsi" w:hAnsiTheme="minorHAnsi" w:eastAsiaTheme="minorEastAsia"/>
          <w:sz w:val="22"/>
          <w:szCs w:val="22"/>
        </w:rPr>
        <w:t>14. Jiang S, Cao J, Rosner B, Colditz GA. Supervised two-dimensional functional principal component analysis with time-to-event outcomes and mammogram imaging data. Biometrics 2023;79(2):1359-1369.</w:t>
      </w:r>
    </w:p>
    <w:p w14:paraId="1C2EB04F">
      <w:pPr>
        <w:spacing w:line="276" w:lineRule="auto"/>
      </w:pPr>
      <w:r>
        <w:rPr>
          <w:rFonts w:ascii="Cambria" w:hAnsi="Cambria" w:eastAsia="ＭＳ 明朝" w:cs="Cambria" w:asciiTheme="minorHAnsi" w:hAnsiTheme="minorHAnsi" w:eastAsiaTheme="minorEastAsia"/>
          <w:sz w:val="22"/>
          <w:szCs w:val="22"/>
        </w:rPr>
        <w:t>15. Satopaa V, Albrecht J, Irwin D, Raghavan B. Finding a “Kneedle” in a Haystack: Detecting Knee Points in System Behavior. Proc 31st Int Conf Distrib Comput Syst Workshops (ICDCSW) 2011:166-171.</w:t>
      </w:r>
    </w:p>
    <w:p w14:paraId="2E5275DA">
      <w:pPr>
        <w:spacing w:after="200" w:line="276" w:lineRule="auto"/>
      </w:pPr>
      <w:r>
        <w:rPr>
          <w:rFonts w:ascii="Cambria" w:hAnsi="Cambria" w:eastAsia="ＭＳ 明朝" w:cs="Arial" w:asciiTheme="minorHAnsi" w:hAnsiTheme="minorHAnsi" w:eastAsiaTheme="minorEastAsia" w:csTheme="minorBidi"/>
          <w:sz w:val="22"/>
          <w:szCs w:val="22"/>
        </w:rPr>
        <w:t>16. DeLong ER, DeLong DM, Clarke-Pearson DL. Comparing the areas under two or more correlated receiver operating characteristic curves: a nonparametric approach. Biometrics 1988;44(3):837-845.</w:t>
      </w:r>
    </w:p>
    <w:p w14:paraId="30F08A44">
      <w:pPr>
        <w:spacing w:after="200" w:line="276" w:lineRule="auto"/>
      </w:pPr>
      <w:r>
        <w:rPr>
          <w:rFonts w:ascii="Cambria" w:hAnsi="Cambria" w:eastAsia="ＭＳ 明朝" w:cs="Arial" w:asciiTheme="minorHAnsi" w:hAnsiTheme="minorHAnsi" w:eastAsiaTheme="minorEastAsia" w:csTheme="minorBidi"/>
          <w:sz w:val="22"/>
          <w:szCs w:val="22"/>
        </w:rPr>
        <w:t>17. Sun X, Xu W. Fast Implementation of DeLong’s Algorithm for Comparing the Areas Under Correlated Receiver Operating Characteristic Curves. IEEE Signal Process Lett 2014;21(11):1389-1393.</w:t>
      </w:r>
    </w:p>
    <w:p w14:paraId="1EC61947">
      <w:pPr>
        <w:spacing w:after="200" w:line="276" w:lineRule="auto"/>
      </w:pPr>
      <w:r>
        <w:rPr>
          <w:rFonts w:ascii="Cambria" w:hAnsi="Cambria" w:eastAsia="ＭＳ 明朝" w:cs="Arial" w:asciiTheme="minorHAnsi" w:hAnsiTheme="minorHAnsi" w:eastAsiaTheme="minorEastAsia" w:csTheme="minorBidi"/>
          <w:sz w:val="22"/>
          <w:szCs w:val="22"/>
        </w:rPr>
        <w:t>18. Youden WJ. Index for rating diagnostic tests. Cancer 1950;3(1):32-35.</w:t>
      </w:r>
    </w:p>
    <w:sectPr>
      <w:pgSz w:w="12240" w:h="15840"/>
      <w:pgMar w:top="1440" w:right="1800" w:bottom="1440" w:left="1800"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Calibri">
    <w:panose1 w:val="020F0502020204030204"/>
    <w:family w:val="auto"/>
    <w:charset w:val="00"/>
    <w:notTrueType w:val="false"/>
    <w:sig w:usb0="E4002EFF" w:usb1="C200247B" w:usb2="00000009" w:usb3="00000001" w:csb0="200001FF" w:csb1="00000001"/>
  </w:font>
  <w:font w:name="Cambria">
    <w:panose1 w:val="02040503050406030204"/>
    <w:family w:val="auto"/>
    <w:charset w:val="00"/>
    <w:notTrueType w:val="false"/>
    <w:sig w:usb0="E00006FF" w:usb1="420024FF" w:usb2="02000000" w:usb3="00000001" w:csb0="2000019F" w:csb1="00000001"/>
  </w:font>
  <w:font w:name="Courier">
    <w:panose1 w:val="02000500FFFFFFFFFFFF"/>
    <w:family w:val="auto"/>
    <w:charset w:val="00"/>
    <w:notTrueType w:val="false"/>
    <w:pitch w:val="variable"/>
    <w:sig w:usb0="00000003" w:usb1="00000000" w:usb2="00000000" w:usb3="00000000" w:csb0="00000001" w:csb1="00000000"/>
  </w:font>
  <w:font w:name="Symbol">
    <w:panose1 w:val="05050102010706020507"/>
    <w:family w:val="auto"/>
    <w:charset w:val="02"/>
    <w:notTrueType w:val="false"/>
    <w:sig w:usb0="00000001" w:usb1="00000001" w:usb2="00000001" w:usb3="00000001" w:csb0="80000000" w:csb1="0000000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val="bestFit"/>
  <w:removePersonalInformation/>
  <w:bordersDontSurroundHeader/>
  <w:bordersDontSurroundFooter/>
  <w:hideGrammaticalErrors/>
  <w:proofState w:spelling="clean" w:grammar="clean"/>
  <w:defaultTabStop w:val="72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en-US" w:bidi="ar-SA"/>
        <w:rFonts w:asciiTheme="minorHAnsi" w:eastAsiaTheme="minorEastAsia" w:hAnsiTheme="minorHAnsi" w:cstheme="minorBidi"/>
        <w:sz w:val="22"/>
        <w:szCs w:val="22"/>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57"/>
    <w:lsdException w:name="toc 2" w:uiPriority="57"/>
    <w:lsdException w:name="toc 3" w:uiPriority="57"/>
    <w:lsdException w:name="toc 4" w:uiPriority="57"/>
    <w:lsdException w:name="toc 5" w:uiPriority="57"/>
    <w:lsdException w:name="toc 6" w:uiPriority="57"/>
    <w:lsdException w:name="toc 7" w:uiPriority="57"/>
    <w:lsdException w:name="toc 8" w:uiPriority="57"/>
    <w:lsdException w:name="toc 9" w:uiPriority="57"/>
    <w:lsdException w:name="caption" w:uiPriority="53" w:qFormat="1"/>
    <w:lsdException w:name="Title" w:semiHidden="0" w:uiPriority="16" w:unhideWhenUsed="0" w:qFormat="1"/>
    <w:lsdException w:name="Default Paragraph Font" w:uiPriority="1"/>
    <w:lsdException w:name="Subtitle" w:semiHidden="0" w:uiPriority="17" w:unhideWhenUsed="0" w:qFormat="1"/>
    <w:lsdException w:name="Strong" w:semiHidden="0" w:uiPriority="34" w:unhideWhenUsed="0" w:qFormat="1"/>
    <w:lsdException w:name="Emphasis" w:semiHidden="0" w:uiPriority="32" w:unhideWhenUsed="0" w:qFormat="1"/>
    <w:lsdException w:name="Table Grid" w:semiHidden="0" w:uiPriority="89" w:unhideWhenUsed="0"/>
    <w:lsdException w:name="Placeholder Text" w:unhideWhenUsed="0"/>
    <w:lsdException w:name="No Spacing" w:semiHidden="0" w:uiPriority="1" w:unhideWhenUsed="0" w:qFormat="1"/>
    <w:lsdException w:name="Light Shading" w:semiHidden="0" w:uiPriority="96" w:unhideWhenUsed="0"/>
    <w:lsdException w:name="Light List" w:semiHidden="0" w:uiPriority="97" w:unhideWhenUsed="0"/>
    <w:lsdException w:name="Light Grid" w:semiHidden="0" w:uiPriority="98" w:unhideWhenUsed="0"/>
    <w:lsdException w:name="Medium Shading 1" w:semiHidden="0" w:uiPriority="99" w:unhideWhenUsed="0"/>
    <w:lsdException w:name="Medium Shading 2" w:semiHidden="0" w:uiPriority="100" w:unhideWhenUsed="0"/>
    <w:lsdException w:name="Medium List 1" w:semiHidden="0" w:uiPriority="101" w:unhideWhenUsed="0"/>
    <w:lsdException w:name="Medium List 2" w:semiHidden="0" w:uiPriority="102" w:unhideWhenUsed="0"/>
    <w:lsdException w:name="Medium Grid 1" w:semiHidden="0" w:uiPriority="103" w:unhideWhenUsed="0"/>
    <w:lsdException w:name="Medium Grid 2" w:semiHidden="0" w:uiPriority="104" w:unhideWhenUsed="0"/>
    <w:lsdException w:name="Medium Grid 3" w:semiHidden="0" w:uiPriority="105" w:unhideWhenUsed="0"/>
    <w:lsdException w:name="Dark List" w:semiHidden="0" w:uiPriority="112" w:unhideWhenUsed="0"/>
    <w:lsdException w:name="Colorful Shading" w:semiHidden="0" w:uiPriority="113" w:unhideWhenUsed="0"/>
    <w:lsdException w:name="Colorful List" w:semiHidden="0" w:uiPriority="114" w:unhideWhenUsed="0"/>
    <w:lsdException w:name="Colorful Grid" w:semiHidden="0" w:uiPriority="115" w:unhideWhenUsed="0"/>
    <w:lsdException w:name="Light Shading Accent 1" w:semiHidden="0" w:uiPriority="96" w:unhideWhenUsed="0"/>
    <w:lsdException w:name="Light List Accent 1" w:semiHidden="0" w:uiPriority="97" w:unhideWhenUsed="0"/>
    <w:lsdException w:name="Light Grid Accent 1" w:semiHidden="0" w:uiPriority="98" w:unhideWhenUsed="0"/>
    <w:lsdException w:name="Medium Shading 1 Accent 1" w:semiHidden="0" w:uiPriority="99" w:unhideWhenUsed="0"/>
    <w:lsdException w:name="Medium Shading 2 Accent 1" w:semiHidden="0" w:uiPriority="100" w:unhideWhenUsed="0"/>
    <w:lsdException w:name="Medium List 1 Accent 1" w:semiHidden="0" w:uiPriority="101" w:unhideWhenUsed="0"/>
    <w:lsdException w:name="Revision" w:unhideWhenUsed="0"/>
    <w:lsdException w:name="List Paragraph" w:semiHidden="0" w:uiPriority="52" w:unhideWhenUsed="0" w:qFormat="1"/>
    <w:lsdException w:name="Quote" w:semiHidden="0" w:uiPriority="41" w:unhideWhenUsed="0" w:qFormat="1"/>
    <w:lsdException w:name="Intense Quote" w:semiHidden="0" w:uiPriority="48" w:unhideWhenUsed="0" w:qFormat="1"/>
    <w:lsdException w:name="Medium List 2 Accent 1" w:semiHidden="0" w:uiPriority="102" w:unhideWhenUsed="0"/>
    <w:lsdException w:name="Medium Grid 1 Accent 1" w:semiHidden="0" w:uiPriority="103" w:unhideWhenUsed="0"/>
    <w:lsdException w:name="Medium Grid 2 Accent 1" w:semiHidden="0" w:uiPriority="104" w:unhideWhenUsed="0"/>
    <w:lsdException w:name="Medium Grid 3 Accent 1" w:semiHidden="0" w:uiPriority="105" w:unhideWhenUsed="0"/>
    <w:lsdException w:name="Dark List Accent 1" w:semiHidden="0" w:uiPriority="112" w:unhideWhenUsed="0"/>
    <w:lsdException w:name="Colorful Shading Accent 1" w:semiHidden="0" w:uiPriority="113" w:unhideWhenUsed="0"/>
    <w:lsdException w:name="Colorful List Accent 1" w:semiHidden="0" w:uiPriority="114" w:unhideWhenUsed="0"/>
    <w:lsdException w:name="Colorful Grid Accent 1" w:semiHidden="0" w:uiPriority="115" w:unhideWhenUsed="0"/>
    <w:lsdException w:name="Light Shading Accent 2" w:semiHidden="0" w:uiPriority="96" w:unhideWhenUsed="0"/>
    <w:lsdException w:name="Light List Accent 2" w:semiHidden="0" w:uiPriority="97" w:unhideWhenUsed="0"/>
    <w:lsdException w:name="Light Grid Accent 2" w:semiHidden="0" w:uiPriority="98" w:unhideWhenUsed="0"/>
    <w:lsdException w:name="Medium Shading 1 Accent 2" w:semiHidden="0" w:uiPriority="99" w:unhideWhenUsed="0"/>
    <w:lsdException w:name="Medium Shading 2 Accent 2" w:semiHidden="0" w:uiPriority="100" w:unhideWhenUsed="0"/>
    <w:lsdException w:name="Medium List 1 Accent 2" w:semiHidden="0" w:uiPriority="101" w:unhideWhenUsed="0"/>
    <w:lsdException w:name="Medium List 2 Accent 2" w:semiHidden="0" w:uiPriority="102" w:unhideWhenUsed="0"/>
    <w:lsdException w:name="Medium Grid 1 Accent 2" w:semiHidden="0" w:uiPriority="103" w:unhideWhenUsed="0"/>
    <w:lsdException w:name="Medium Grid 2 Accent 2" w:semiHidden="0" w:uiPriority="104" w:unhideWhenUsed="0"/>
    <w:lsdException w:name="Medium Grid 3 Accent 2" w:semiHidden="0" w:uiPriority="105" w:unhideWhenUsed="0"/>
    <w:lsdException w:name="Dark List Accent 2" w:semiHidden="0" w:uiPriority="112" w:unhideWhenUsed="0"/>
    <w:lsdException w:name="Colorful Shading Accent 2" w:semiHidden="0" w:uiPriority="113" w:unhideWhenUsed="0"/>
    <w:lsdException w:name="Colorful List Accent 2" w:semiHidden="0" w:uiPriority="114" w:unhideWhenUsed="0"/>
    <w:lsdException w:name="Colorful Grid Accent 2" w:semiHidden="0" w:uiPriority="115" w:unhideWhenUsed="0"/>
    <w:lsdException w:name="Light Shading Accent 3" w:semiHidden="0" w:uiPriority="96" w:unhideWhenUsed="0"/>
    <w:lsdException w:name="Light List Accent 3" w:semiHidden="0" w:uiPriority="97" w:unhideWhenUsed="0"/>
    <w:lsdException w:name="Light Grid Accent 3" w:semiHidden="0" w:uiPriority="98" w:unhideWhenUsed="0"/>
    <w:lsdException w:name="Medium Shading 1 Accent 3" w:semiHidden="0" w:uiPriority="99" w:unhideWhenUsed="0"/>
    <w:lsdException w:name="Medium Shading 2 Accent 3" w:semiHidden="0" w:uiPriority="100" w:unhideWhenUsed="0"/>
    <w:lsdException w:name="Medium List 1 Accent 3" w:semiHidden="0" w:uiPriority="101" w:unhideWhenUsed="0"/>
    <w:lsdException w:name="Medium List 2 Accent 3" w:semiHidden="0" w:uiPriority="102" w:unhideWhenUsed="0"/>
    <w:lsdException w:name="Medium Grid 1 Accent 3" w:semiHidden="0" w:uiPriority="103" w:unhideWhenUsed="0"/>
    <w:lsdException w:name="Medium Grid 2 Accent 3" w:semiHidden="0" w:uiPriority="104" w:unhideWhenUsed="0"/>
    <w:lsdException w:name="Medium Grid 3 Accent 3" w:semiHidden="0" w:uiPriority="105" w:unhideWhenUsed="0"/>
    <w:lsdException w:name="Dark List Accent 3" w:semiHidden="0" w:uiPriority="112" w:unhideWhenUsed="0"/>
    <w:lsdException w:name="Colorful Shading Accent 3" w:semiHidden="0" w:uiPriority="113" w:unhideWhenUsed="0"/>
    <w:lsdException w:name="Colorful List Accent 3" w:semiHidden="0" w:uiPriority="114" w:unhideWhenUsed="0"/>
    <w:lsdException w:name="Colorful Grid Accent 3" w:semiHidden="0" w:uiPriority="115" w:unhideWhenUsed="0"/>
    <w:lsdException w:name="Light Shading Accent 4" w:semiHidden="0" w:uiPriority="96" w:unhideWhenUsed="0"/>
    <w:lsdException w:name="Light List Accent 4" w:semiHidden="0" w:uiPriority="97" w:unhideWhenUsed="0"/>
    <w:lsdException w:name="Light Grid Accent 4" w:semiHidden="0" w:uiPriority="98" w:unhideWhenUsed="0"/>
    <w:lsdException w:name="Medium Shading 1 Accent 4" w:semiHidden="0" w:uiPriority="99" w:unhideWhenUsed="0"/>
    <w:lsdException w:name="Medium Shading 2 Accent 4" w:semiHidden="0" w:uiPriority="100" w:unhideWhenUsed="0"/>
    <w:lsdException w:name="Medium List 1 Accent 4" w:semiHidden="0" w:uiPriority="101" w:unhideWhenUsed="0"/>
    <w:lsdException w:name="Medium List 2 Accent 4" w:semiHidden="0" w:uiPriority="102" w:unhideWhenUsed="0"/>
    <w:lsdException w:name="Medium Grid 1 Accent 4" w:semiHidden="0" w:uiPriority="103" w:unhideWhenUsed="0"/>
    <w:lsdException w:name="Medium Grid 2 Accent 4" w:semiHidden="0" w:uiPriority="104" w:unhideWhenUsed="0"/>
    <w:lsdException w:name="Medium Grid 3 Accent 4" w:semiHidden="0" w:uiPriority="105" w:unhideWhenUsed="0"/>
    <w:lsdException w:name="Dark List Accent 4" w:semiHidden="0" w:uiPriority="112" w:unhideWhenUsed="0"/>
    <w:lsdException w:name="Colorful Shading Accent 4" w:semiHidden="0" w:uiPriority="113" w:unhideWhenUsed="0"/>
    <w:lsdException w:name="Colorful List Accent 4" w:semiHidden="0" w:uiPriority="114" w:unhideWhenUsed="0"/>
    <w:lsdException w:name="Colorful Grid Accent 4" w:semiHidden="0" w:uiPriority="115" w:unhideWhenUsed="0"/>
    <w:lsdException w:name="Light Shading Accent 5" w:semiHidden="0" w:uiPriority="96" w:unhideWhenUsed="0"/>
    <w:lsdException w:name="Light List Accent 5" w:semiHidden="0" w:uiPriority="97" w:unhideWhenUsed="0"/>
    <w:lsdException w:name="Light Grid Accent 5" w:semiHidden="0" w:uiPriority="98" w:unhideWhenUsed="0"/>
    <w:lsdException w:name="Medium Shading 1 Accent 5" w:semiHidden="0" w:uiPriority="99" w:unhideWhenUsed="0"/>
    <w:lsdException w:name="Medium Shading 2 Accent 5" w:semiHidden="0" w:uiPriority="100" w:unhideWhenUsed="0"/>
    <w:lsdException w:name="Medium List 1 Accent 5" w:semiHidden="0" w:uiPriority="101" w:unhideWhenUsed="0"/>
    <w:lsdException w:name="Medium List 2 Accent 5" w:semiHidden="0" w:uiPriority="102" w:unhideWhenUsed="0"/>
    <w:lsdException w:name="Medium Grid 1 Accent 5" w:semiHidden="0" w:uiPriority="103" w:unhideWhenUsed="0"/>
    <w:lsdException w:name="Medium Grid 2 Accent 5" w:semiHidden="0" w:uiPriority="104" w:unhideWhenUsed="0"/>
    <w:lsdException w:name="Medium Grid 3 Accent 5" w:semiHidden="0" w:uiPriority="105" w:unhideWhenUsed="0"/>
    <w:lsdException w:name="Dark List Accent 5" w:semiHidden="0" w:uiPriority="112" w:unhideWhenUsed="0"/>
    <w:lsdException w:name="Colorful Shading Accent 5" w:semiHidden="0" w:uiPriority="113" w:unhideWhenUsed="0"/>
    <w:lsdException w:name="Colorful List Accent 5" w:semiHidden="0" w:uiPriority="114" w:unhideWhenUsed="0"/>
    <w:lsdException w:name="Colorful Grid Accent 5" w:semiHidden="0" w:uiPriority="115" w:unhideWhenUsed="0"/>
    <w:lsdException w:name="Light Shading Accent 6" w:semiHidden="0" w:uiPriority="96" w:unhideWhenUsed="0"/>
    <w:lsdException w:name="Light List Accent 6" w:semiHidden="0" w:uiPriority="97" w:unhideWhenUsed="0"/>
    <w:lsdException w:name="Light Grid Accent 6" w:semiHidden="0" w:uiPriority="98" w:unhideWhenUsed="0"/>
    <w:lsdException w:name="Medium Shading 1 Accent 6" w:semiHidden="0" w:uiPriority="99" w:unhideWhenUsed="0"/>
    <w:lsdException w:name="Medium Shading 2 Accent 6" w:semiHidden="0" w:uiPriority="100" w:unhideWhenUsed="0"/>
    <w:lsdException w:name="Medium List 1 Accent 6" w:semiHidden="0" w:uiPriority="101" w:unhideWhenUsed="0"/>
    <w:lsdException w:name="Medium List 2 Accent 6" w:semiHidden="0" w:uiPriority="102" w:unhideWhenUsed="0"/>
    <w:lsdException w:name="Medium Grid 1 Accent 6" w:semiHidden="0" w:uiPriority="103" w:unhideWhenUsed="0"/>
    <w:lsdException w:name="Medium Grid 2 Accent 6" w:semiHidden="0" w:uiPriority="104" w:unhideWhenUsed="0"/>
    <w:lsdException w:name="Medium Grid 3 Accent 6" w:semiHidden="0" w:uiPriority="105" w:unhideWhenUsed="0"/>
    <w:lsdException w:name="Dark List Accent 6" w:semiHidden="0" w:uiPriority="112" w:unhideWhenUsed="0"/>
    <w:lsdException w:name="Colorful Shading Accent 6" w:semiHidden="0" w:uiPriority="113" w:unhideWhenUsed="0"/>
    <w:lsdException w:name="Colorful List Accent 6" w:semiHidden="0" w:uiPriority="114" w:unhideWhenUsed="0"/>
    <w:lsdException w:name="Colorful Grid Accent 6" w:semiHidden="0" w:uiPriority="115" w:unhideWhenUsed="0"/>
    <w:lsdException w:name="Subtle Emphasis" w:semiHidden="0" w:uiPriority="25" w:unhideWhenUsed="0" w:qFormat="1"/>
    <w:lsdException w:name="Intense Emphasis" w:semiHidden="0" w:uiPriority="33" w:unhideWhenUsed="0" w:qFormat="1"/>
    <w:lsdException w:name="Subtle Reference" w:semiHidden="0" w:uiPriority="49" w:unhideWhenUsed="0" w:qFormat="1"/>
    <w:lsdException w:name="Intense Reference" w:semiHidden="0" w:uiPriority="50" w:unhideWhenUsed="0" w:qFormat="1"/>
    <w:lsdException w:name="Book Title" w:semiHidden="0" w:uiPriority="51" w:unhideWhenUsed="0" w:qFormat="1"/>
    <w:lsdException w:name="Bibliography" w:uiPriority="55"/>
    <w:lsdException w:name="TOC Heading" w:uiPriority="57" w:qFormat="1"/>
  </w:latentStyles>
  <w:style w:type="paragraph" w:default="1" w:styleId="Normal">
    <w:name w:val="Normal"/>
    <w:qFormat/>
  </w:style>
  <w:style w:type="paragraph" w:customStyle="1" w:styleId="Header">
    <w:name w:val="header"/>
    <w:uiPriority w:val="99"/>
    <w:basedOn w:val="Normal"/>
    <w:link w:val="HeaderChar"/>
    <w:unhideWhenUsed/>
    <w:pPr>
      <w:tabs>
        <w:tab w:val="center" w:pos="4680"/>
        <w:tab w:val="right" w:pos="9360"/>
      </w:tabs>
      <w:spacing w:after="0" w:line="240" w:lineRule="auto"/>
    </w:pPr>
  </w:style>
  <w:style w:type="character" w:customStyle="1" w:styleId="HeaderChar">
    <w:name w:val="Header Char"/>
    <w:uiPriority w:val="99"/>
    <w:basedOn w:val="DefaultParagraphFont"/>
    <w:link w:val="Header"/>
  </w:style>
  <w:style w:type="paragraph" w:customStyle="1" w:styleId="Footer">
    <w:name w:val="footer"/>
    <w:uiPriority w:val="99"/>
    <w:basedOn w:val="Normal"/>
    <w:link w:val="FooterChar"/>
    <w:unhideWhenUsed/>
    <w:pPr>
      <w:tabs>
        <w:tab w:val="center" w:pos="4680"/>
        <w:tab w:val="right" w:pos="9360"/>
      </w:tabs>
      <w:spacing w:after="0" w:line="240" w:lineRule="auto"/>
    </w:pPr>
  </w:style>
  <w:style w:type="character" w:customStyle="1" w:styleId="FooterChar">
    <w:name w:val="Footer Char"/>
    <w:uiPriority w:val="99"/>
    <w:basedOn w:val="DefaultParagraphFont"/>
    <w:link w:val="Footer"/>
  </w:style>
  <w:style w:type="paragraph" w:styleId="Heading1">
    <w:name w:val="heading 1"/>
    <w:uiPriority w:val="9"/>
    <w:basedOn w:val="Normal"/>
    <w:next w:val="Normal"/>
    <w:link w:val="Heading1Char"/>
    <w:qFormat/>
    <w:pPr>
      <w:keepNext/>
      <w:keepLines/>
      <w:outlineLvl w:val="0"/>
      <w:spacing w:after="0" w:before="480"/>
    </w:pPr>
    <w:rPr>
      <w:rFonts w:asciiTheme="majorHAnsi" w:eastAsiaTheme="majorEastAsia" w:hAnsiTheme="majorHAnsi" w:cstheme="majorBidi"/>
      <w:b/>
      <w:bCs/>
      <w:color w:val="376092"/>
      <w:sz w:val="28"/>
      <w:szCs w:val="28"/>
    </w:rPr>
  </w:style>
  <w:style w:type="paragraph" w:styleId="Heading2">
    <w:name w:val="heading 2"/>
    <w:uiPriority w:val="9"/>
    <w:basedOn w:val="Normal"/>
    <w:next w:val="Normal"/>
    <w:link w:val="Heading2Char"/>
    <w:qFormat/>
    <w:unhideWhenUsed/>
    <w:pPr>
      <w:keepNext/>
      <w:keepLines/>
      <w:outlineLvl w:val="1"/>
      <w:spacing w:after="0" w:before="200"/>
    </w:pPr>
    <w:rPr>
      <w:rFonts w:asciiTheme="majorHAnsi" w:eastAsiaTheme="majorEastAsia" w:hAnsiTheme="majorHAnsi" w:cstheme="majorBidi"/>
      <w:b/>
      <w:bCs/>
      <w:color w:val="4F81BD"/>
      <w:sz w:val="26"/>
      <w:szCs w:val="26"/>
    </w:rPr>
  </w:style>
  <w:style w:type="paragraph" w:styleId="Heading3">
    <w:name w:val="heading 3"/>
    <w:uiPriority w:val="9"/>
    <w:basedOn w:val="Normal"/>
    <w:next w:val="Normal"/>
    <w:link w:val="Heading3Char"/>
    <w:qFormat/>
    <w:unhideWhenUsed/>
    <w:pPr>
      <w:keepNext/>
      <w:keepLines/>
      <w:outlineLvl w:val="2"/>
      <w:spacing w:after="0" w:before="200"/>
    </w:pPr>
    <w:rPr>
      <w:rFonts w:asciiTheme="majorHAnsi" w:eastAsiaTheme="majorEastAsia" w:hAnsiTheme="majorHAnsi" w:cstheme="majorBidi"/>
      <w:b/>
      <w:bCs/>
      <w:color w:val="4F81BD"/>
    </w:rPr>
  </w:style>
  <w:style w:type="paragraph" w:styleId="Heading4">
    <w:name w:val="heading 4"/>
    <w:uiPriority w:val="9"/>
    <w:basedOn w:val="Normal"/>
    <w:next w:val="Normal"/>
    <w:link w:val="Heading4Char"/>
    <w:qFormat/>
    <w:semiHidden/>
    <w:unhideWhenUsed/>
    <w:pPr>
      <w:keepNext/>
      <w:keepLines/>
      <w:outlineLvl w:val="3"/>
      <w:spacing w:after="0" w:before="200"/>
    </w:pPr>
    <w:rPr>
      <w:rFonts w:asciiTheme="majorHAnsi" w:eastAsiaTheme="majorEastAsia" w:hAnsiTheme="majorHAnsi" w:cstheme="majorBidi"/>
      <w:b/>
      <w:bCs/>
      <w:i/>
      <w:iCs/>
      <w:color w:val="4F81BD"/>
    </w:rPr>
  </w:style>
  <w:style w:type="paragraph" w:styleId="Heading5">
    <w:name w:val="heading 5"/>
    <w:uiPriority w:val="9"/>
    <w:basedOn w:val="Normal"/>
    <w:next w:val="Normal"/>
    <w:link w:val="Heading5Char"/>
    <w:qFormat/>
    <w:semiHidden/>
    <w:unhideWhenUsed/>
    <w:pPr>
      <w:keepNext/>
      <w:keepLines/>
      <w:outlineLvl w:val="4"/>
      <w:spacing w:after="0" w:before="200"/>
    </w:pPr>
    <w:rPr>
      <w:rFonts w:asciiTheme="majorHAnsi" w:eastAsiaTheme="majorEastAsia" w:hAnsiTheme="majorHAnsi" w:cstheme="majorBidi"/>
      <w:color w:val="244061"/>
    </w:rPr>
  </w:style>
  <w:style w:type="paragraph" w:styleId="Heading6">
    <w:name w:val="heading 6"/>
    <w:uiPriority w:val="9"/>
    <w:basedOn w:val="Normal"/>
    <w:next w:val="Normal"/>
    <w:link w:val="Heading6Char"/>
    <w:qFormat/>
    <w:semiHidden/>
    <w:unhideWhenUsed/>
    <w:pPr>
      <w:keepNext/>
      <w:keepLines/>
      <w:outlineLvl w:val="5"/>
      <w:spacing w:after="0" w:before="200"/>
    </w:pPr>
    <w:rPr>
      <w:rFonts w:asciiTheme="majorHAnsi" w:eastAsiaTheme="majorEastAsia" w:hAnsiTheme="majorHAnsi" w:cstheme="majorBidi"/>
      <w:i/>
      <w:iCs/>
      <w:color w:val="244061"/>
    </w:rPr>
  </w:style>
  <w:style w:type="paragraph" w:styleId="Heading7">
    <w:name w:val="heading 7"/>
    <w:uiPriority w:val="9"/>
    <w:basedOn w:val="Normal"/>
    <w:next w:val="Normal"/>
    <w:link w:val="Heading7Char"/>
    <w:qFormat/>
    <w:semiHidden/>
    <w:unhideWhenUsed/>
    <w:pPr>
      <w:keepNext/>
      <w:keepLines/>
      <w:outlineLvl w:val="6"/>
      <w:spacing w:after="0" w:before="200"/>
    </w:pPr>
    <w:rPr>
      <w:rFonts w:asciiTheme="majorHAnsi" w:eastAsiaTheme="majorEastAsia" w:hAnsiTheme="majorHAnsi" w:cstheme="majorBidi"/>
      <w:i/>
      <w:iCs/>
      <w:color w:val="3F3F3F"/>
    </w:rPr>
  </w:style>
  <w:style w:type="paragraph" w:styleId="Heading8">
    <w:name w:val="heading 8"/>
    <w:uiPriority w:val="9"/>
    <w:basedOn w:val="Normal"/>
    <w:next w:val="Normal"/>
    <w:link w:val="Heading8Char"/>
    <w:qFormat/>
    <w:semiHidden/>
    <w:unhideWhenUsed/>
    <w:pPr>
      <w:keepNext/>
      <w:keepLines/>
      <w:outlineLvl w:val="7"/>
      <w:spacing w:after="0" w:before="200"/>
    </w:pPr>
    <w:rPr>
      <w:rFonts w:asciiTheme="majorHAnsi" w:eastAsiaTheme="majorEastAsia" w:hAnsiTheme="majorHAnsi" w:cstheme="majorBidi"/>
      <w:color w:val="4F81BD"/>
      <w:sz w:val="20"/>
      <w:szCs w:val="20"/>
    </w:rPr>
  </w:style>
  <w:style w:type="paragraph" w:styleId="Heading9">
    <w:name w:val="heading 9"/>
    <w:uiPriority w:val="9"/>
    <w:basedOn w:val="Normal"/>
    <w:next w:val="Normal"/>
    <w:link w:val="Heading9Char"/>
    <w:qFormat/>
    <w:semiHidden/>
    <w:unhideWhenUsed/>
    <w:pPr>
      <w:keepNext/>
      <w:keepLines/>
      <w:outlineLvl w:val="8"/>
      <w:spacing w:after="0" w:before="200"/>
    </w:pPr>
    <w:rPr>
      <w:rFonts w:asciiTheme="majorHAnsi" w:eastAsiaTheme="majorEastAsia" w:hAnsiTheme="majorHAnsi" w:cstheme="majorBidi"/>
      <w:i/>
      <w:iCs/>
      <w:color w:val="3F3F3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character" w:customStyle="1" w:styleId="Heading1Char">
    <w:name w:val="Heading 1 Char"/>
    <w:uiPriority w:val="9"/>
    <w:basedOn w:val="DefaultParagraphFont"/>
    <w:link w:val="Heading1"/>
    <w:rPr>
      <w:rFonts w:asciiTheme="majorHAnsi" w:eastAsiaTheme="majorEastAsia" w:hAnsiTheme="majorHAnsi" w:cstheme="majorBidi"/>
      <w:b/>
      <w:bCs/>
      <w:color w:val="376092"/>
      <w:sz w:val="28"/>
      <w:szCs w:val="28"/>
    </w:rPr>
  </w:style>
  <w:style w:type="character" w:customStyle="1" w:styleId="Heading2Char">
    <w:name w:val="Heading 2 Char"/>
    <w:uiPriority w:val="9"/>
    <w:basedOn w:val="DefaultParagraphFont"/>
    <w:link w:val="Heading2"/>
    <w:rPr>
      <w:rFonts w:asciiTheme="majorHAnsi" w:eastAsiaTheme="majorEastAsia" w:hAnsiTheme="majorHAnsi" w:cstheme="majorBidi"/>
      <w:b/>
      <w:bCs/>
      <w:color w:val="4F81BD"/>
      <w:sz w:val="26"/>
      <w:szCs w:val="26"/>
    </w:rPr>
  </w:style>
  <w:style w:type="character" w:customStyle="1" w:styleId="Heading3Char">
    <w:name w:val="Heading 3 Char"/>
    <w:uiPriority w:val="9"/>
    <w:basedOn w:val="DefaultParagraphFont"/>
    <w:link w:val="Heading3"/>
    <w:rPr>
      <w:rFonts w:asciiTheme="majorHAnsi" w:eastAsiaTheme="majorEastAsia" w:hAnsiTheme="majorHAnsi" w:cstheme="majorBidi"/>
      <w:b/>
      <w:bCs/>
      <w:color w:val="4F81BD"/>
    </w:rPr>
  </w:style>
  <w:style w:type="paragraph" w:styleId="Title">
    <w:name w:val="Title"/>
    <w:uiPriority w:val="10"/>
    <w:basedOn w:val="Normal"/>
    <w:next w:val="Normal"/>
    <w:link w:val="TitleChar"/>
    <w:qFormat/>
    <w:pPr>
      <w:contextualSpacing/>
      <w:pBdr>
        <w:bottom w:val="single" w:sz="8" w:space="4" w:color="4F81BD" w:themeColor="accent1"/>
      </w:pBdr>
      <w:spacing w:after="300" w:line="240" w:lineRule="auto"/>
    </w:pPr>
    <w:rPr>
      <w:rFonts w:asciiTheme="majorHAnsi" w:eastAsiaTheme="majorEastAsia" w:hAnsiTheme="majorHAnsi" w:cstheme="majorBidi"/>
      <w:color w:val="17375E"/>
      <w:sz w:val="52"/>
      <w:szCs w:val="52"/>
      <w:kern w:val="28"/>
      <w:spacing w:val="5"/>
    </w:rPr>
  </w:style>
  <w:style w:type="character" w:customStyle="1" w:styleId="TitleChar">
    <w:name w:val="Title Char"/>
    <w:uiPriority w:val="10"/>
    <w:basedOn w:val="DefaultParagraphFont"/>
    <w:link w:val="Title"/>
    <w:rPr>
      <w:rFonts w:asciiTheme="majorHAnsi" w:eastAsiaTheme="majorEastAsia" w:hAnsiTheme="majorHAnsi" w:cstheme="majorBidi"/>
      <w:color w:val="17375E"/>
      <w:sz w:val="52"/>
      <w:szCs w:val="52"/>
      <w:kern w:val="28"/>
      <w:spacing w:val="5"/>
    </w:rPr>
  </w:style>
  <w:style w:type="paragraph" w:styleId="Subtitle">
    <w:name w:val="Subtitle"/>
    <w:uiPriority w:val="11"/>
    <w:basedOn w:val="Normal"/>
    <w:next w:val="Normal"/>
    <w:link w:val="SubtitleChar"/>
    <w:qFormat/>
    <w:pPr>
      <w:numPr>
        <w:ilvl w:val="0"/>
      </w:numPr>
    </w:pPr>
    <w:rPr>
      <w:rFonts w:asciiTheme="majorHAnsi" w:eastAsiaTheme="majorEastAsia" w:hAnsiTheme="majorHAnsi" w:cstheme="majorBidi"/>
      <w:i/>
      <w:iCs/>
      <w:color w:val="4F81BD"/>
      <w:sz w:val="24"/>
      <w:szCs w:val="24"/>
      <w:spacing w:val="15"/>
    </w:rPr>
  </w:style>
  <w:style w:type="character" w:customStyle="1" w:styleId="SubtitleChar">
    <w:name w:val="Subtitle Char"/>
    <w:uiPriority w:val="11"/>
    <w:basedOn w:val="DefaultParagraphFont"/>
    <w:link w:val="Subtitle"/>
    <w:rPr>
      <w:rFonts w:asciiTheme="majorHAnsi" w:eastAsiaTheme="majorEastAsia" w:hAnsiTheme="majorHAnsi" w:cstheme="majorBidi"/>
      <w:i/>
      <w:iCs/>
      <w:color w:val="4F81BD"/>
      <w:sz w:val="24"/>
      <w:szCs w:val="24"/>
      <w:spacing w:val="15"/>
    </w:rPr>
  </w:style>
  <w:style w:type="paragraph" w:styleId="ListParagraph">
    <w:name w:val="List Paragraph"/>
    <w:uiPriority w:val="34"/>
    <w:basedOn w:val="Normal"/>
    <w:qFormat/>
    <w:pPr>
      <w:ind w:left="720"/>
      <w:contextualSpacing/>
    </w:pPr>
  </w:style>
  <w:style w:type="paragraph" w:customStyle="1" w:styleId="BodyText">
    <w:name w:val="Body Text"/>
    <w:uiPriority w:val="99"/>
    <w:basedOn w:val="Normal"/>
    <w:link w:val="BodyTextChar"/>
    <w:unhideWhenUsed/>
    <w:pPr>
      <w:spacing w:after="120"/>
    </w:pPr>
  </w:style>
  <w:style w:type="character" w:customStyle="1" w:styleId="BodyTextChar">
    <w:name w:val="Body Text Char"/>
    <w:uiPriority w:val="99"/>
    <w:basedOn w:val="DefaultParagraphFont"/>
    <w:link w:val="BodyText"/>
  </w:style>
  <w:style w:type="paragraph" w:customStyle="1" w:styleId="BodyText2">
    <w:name w:val="Body Text 2"/>
    <w:uiPriority w:val="99"/>
    <w:basedOn w:val="Normal"/>
    <w:link w:val="BodyText2Char"/>
    <w:unhideWhenUsed/>
    <w:pPr>
      <w:spacing w:after="120" w:line="480" w:lineRule="auto"/>
    </w:pPr>
  </w:style>
  <w:style w:type="character" w:customStyle="1" w:styleId="BodyText2Char">
    <w:name w:val="Body Text 2 Char"/>
    <w:uiPriority w:val="99"/>
    <w:basedOn w:val="DefaultParagraphFont"/>
    <w:link w:val="BodyText2"/>
  </w:style>
  <w:style w:type="paragraph" w:customStyle="1" w:styleId="BodyText3">
    <w:name w:val="Body Text 3"/>
    <w:uiPriority w:val="99"/>
    <w:basedOn w:val="Normal"/>
    <w:link w:val="BodyText3Char"/>
    <w:unhideWhenUsed/>
    <w:pPr>
      <w:spacing w:after="120"/>
    </w:pPr>
    <w:rPr>
      <w:sz w:val="16"/>
      <w:szCs w:val="16"/>
    </w:rPr>
  </w:style>
  <w:style w:type="character" w:customStyle="1" w:styleId="BodyText3Char">
    <w:name w:val="Body Text 3 Char"/>
    <w:uiPriority w:val="99"/>
    <w:basedOn w:val="DefaultParagraphFont"/>
    <w:link w:val="BodyText3"/>
    <w:rPr>
      <w:sz w:val="16"/>
      <w:szCs w:val="16"/>
    </w:rPr>
  </w:style>
  <w:style w:type="paragraph" w:customStyle="1" w:styleId="List">
    <w:name w:val="List"/>
    <w:uiPriority w:val="99"/>
    <w:basedOn w:val="Normal"/>
    <w:unhideWhenUsed/>
    <w:pPr>
      <w:ind w:left="360" w:hanging="360"/>
      <w:contextualSpacing/>
    </w:pPr>
  </w:style>
  <w:style w:type="paragraph" w:customStyle="1" w:styleId="List2">
    <w:name w:val="List 2"/>
    <w:uiPriority w:val="99"/>
    <w:basedOn w:val="Normal"/>
    <w:unhideWhenUsed/>
    <w:pPr>
      <w:ind w:left="720" w:hanging="360"/>
      <w:contextualSpacing/>
    </w:pPr>
  </w:style>
  <w:style w:type="paragraph" w:customStyle="1" w:styleId="List3">
    <w:name w:val="List 3"/>
    <w:uiPriority w:val="99"/>
    <w:basedOn w:val="Normal"/>
    <w:unhideWhenUsed/>
    <w:pPr>
      <w:ind w:left="1080" w:hanging="360"/>
      <w:contextualSpacing/>
    </w:pPr>
  </w:style>
  <w:style w:type="paragraph" w:customStyle="1" w:styleId="ListBullet">
    <w:name w:val="List Bullet"/>
    <w:uiPriority w:val="99"/>
    <w:basedOn w:val="Normal"/>
    <w:unhideWhenUsed/>
    <w:pPr>
      <w:contextualSpacing/>
      <w:numPr>
        <w:ilvl w:val="0"/>
        <w:numId w:val="1"/>
      </w:numPr>
    </w:pPr>
  </w:style>
  <w:style w:type="paragraph" w:customStyle="1" w:styleId="ListBullet2">
    <w:name w:val="List Bullet 2"/>
    <w:uiPriority w:val="99"/>
    <w:basedOn w:val="Normal"/>
    <w:unhideWhenUsed/>
    <w:pPr>
      <w:contextualSpacing/>
      <w:numPr>
        <w:ilvl w:val="0"/>
        <w:numId w:val="2"/>
      </w:numPr>
    </w:pPr>
  </w:style>
  <w:style w:type="paragraph" w:customStyle="1" w:styleId="ListBullet3">
    <w:name w:val="List Bullet 3"/>
    <w:uiPriority w:val="99"/>
    <w:basedOn w:val="Normal"/>
    <w:unhideWhenUsed/>
    <w:pPr>
      <w:contextualSpacing/>
      <w:numPr>
        <w:ilvl w:val="0"/>
        <w:numId w:val="3"/>
      </w:numPr>
    </w:pPr>
  </w:style>
  <w:style w:type="paragraph" w:customStyle="1" w:styleId="ListNumber">
    <w:name w:val="List Number"/>
    <w:uiPriority w:val="99"/>
    <w:basedOn w:val="Normal"/>
    <w:unhideWhenUsed/>
    <w:pPr>
      <w:contextualSpacing/>
      <w:numPr>
        <w:ilvl w:val="0"/>
        <w:numId w:val="4"/>
      </w:numPr>
    </w:pPr>
  </w:style>
  <w:style w:type="paragraph" w:customStyle="1" w:styleId="ListNumber2">
    <w:name w:val="List Number 2"/>
    <w:uiPriority w:val="99"/>
    <w:basedOn w:val="Normal"/>
    <w:unhideWhenUsed/>
    <w:pPr>
      <w:contextualSpacing/>
      <w:numPr>
        <w:ilvl w:val="0"/>
        <w:numId w:val="5"/>
      </w:numPr>
    </w:pPr>
  </w:style>
  <w:style w:type="paragraph" w:customStyle="1" w:styleId="ListNumber3">
    <w:name w:val="List Number 3"/>
    <w:uiPriority w:val="99"/>
    <w:basedOn w:val="Normal"/>
    <w:unhideWhenUsed/>
    <w:pPr>
      <w:contextualSpacing/>
      <w:numPr>
        <w:ilvl w:val="0"/>
        <w:numId w:val="6"/>
      </w:numPr>
    </w:pPr>
  </w:style>
  <w:style w:type="paragraph" w:customStyle="1" w:styleId="ListContinue">
    <w:name w:val="List Continue"/>
    <w:uiPriority w:val="99"/>
    <w:basedOn w:val="Normal"/>
    <w:unhideWhenUsed/>
    <w:pPr>
      <w:ind w:left="360"/>
      <w:contextualSpacing/>
      <w:spacing w:after="120"/>
    </w:pPr>
  </w:style>
  <w:style w:type="paragraph" w:customStyle="1" w:styleId="ListContinue2">
    <w:name w:val="List Continue 2"/>
    <w:uiPriority w:val="99"/>
    <w:basedOn w:val="Normal"/>
    <w:unhideWhenUsed/>
    <w:pPr>
      <w:ind w:left="720"/>
      <w:contextualSpacing/>
      <w:spacing w:after="120"/>
    </w:pPr>
  </w:style>
  <w:style w:type="paragraph" w:customStyle="1" w:styleId="ListContinue3">
    <w:name w:val="List Continue 3"/>
    <w:uiPriority w:val="99"/>
    <w:basedOn w:val="Normal"/>
    <w:unhideWhenUsed/>
    <w:pPr>
      <w:ind w:left="1080"/>
      <w:contextualSpacing/>
      <w:spacing w:after="120"/>
    </w:pPr>
  </w:style>
  <w:style w:type="paragraph" w:customStyle="1" w:styleId="MacroText">
    <w:name w:val="macro"/>
    <w:uiPriority w:val="99"/>
    <w:link w:val="MacroTextChar"/>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uiPriority w:val="99"/>
    <w:basedOn w:val="DefaultParagraphFont"/>
    <w:link w:val="MacroText"/>
    <w:rPr>
      <w:rFonts w:ascii="Courier" w:hAnsi="Courier"/>
      <w:sz w:val="20"/>
      <w:szCs w:val="20"/>
    </w:rPr>
  </w:style>
  <w:style w:type="paragraph" w:styleId="Quote">
    <w:name w:val="Quote"/>
    <w:uiPriority w:val="29"/>
    <w:basedOn w:val="Normal"/>
    <w:next w:val="Normal"/>
    <w:link w:val="QuoteChar"/>
    <w:qFormat/>
    <w:rPr>
      <w:i/>
      <w:iCs/>
      <w:color w:val="000000"/>
    </w:rPr>
  </w:style>
  <w:style w:type="character" w:customStyle="1" w:styleId="QuoteChar">
    <w:name w:val="Quote Char"/>
    <w:uiPriority w:val="29"/>
    <w:basedOn w:val="DefaultParagraphFont"/>
    <w:link w:val="Quote"/>
    <w:rPr>
      <w:i/>
      <w:iCs/>
      <w:color w:val="000000"/>
    </w:rPr>
  </w:style>
  <w:style w:type="character" w:customStyle="1" w:styleId="Heading4Char">
    <w:name w:val="Heading 4 Char"/>
    <w:uiPriority w:val="9"/>
    <w:basedOn w:val="DefaultParagraphFont"/>
    <w:link w:val="Heading4"/>
    <w:semiHidden/>
    <w:rPr>
      <w:rFonts w:asciiTheme="majorHAnsi" w:eastAsiaTheme="majorEastAsia" w:hAnsiTheme="majorHAnsi" w:cstheme="majorBidi"/>
      <w:b/>
      <w:bCs/>
      <w:i/>
      <w:iCs/>
      <w:color w:val="4F81BD"/>
    </w:rPr>
  </w:style>
  <w:style w:type="character" w:customStyle="1" w:styleId="Heading5Char">
    <w:name w:val="Heading 5 Char"/>
    <w:uiPriority w:val="9"/>
    <w:basedOn w:val="DefaultParagraphFont"/>
    <w:link w:val="Heading5"/>
    <w:semiHidden/>
    <w:rPr>
      <w:rFonts w:asciiTheme="majorHAnsi" w:eastAsiaTheme="majorEastAsia" w:hAnsiTheme="majorHAnsi" w:cstheme="majorBidi"/>
      <w:color w:val="244061"/>
    </w:rPr>
  </w:style>
  <w:style w:type="character" w:customStyle="1" w:styleId="Heading6Char">
    <w:name w:val="Heading 6 Char"/>
    <w:uiPriority w:val="9"/>
    <w:basedOn w:val="DefaultParagraphFont"/>
    <w:link w:val="Heading6"/>
    <w:semiHidden/>
    <w:rPr>
      <w:rFonts w:asciiTheme="majorHAnsi" w:eastAsiaTheme="majorEastAsia" w:hAnsiTheme="majorHAnsi" w:cstheme="majorBidi"/>
      <w:i/>
      <w:iCs/>
      <w:color w:val="244061"/>
    </w:rPr>
  </w:style>
  <w:style w:type="character" w:customStyle="1" w:styleId="Heading7Char">
    <w:name w:val="Heading 7 Char"/>
    <w:uiPriority w:val="9"/>
    <w:basedOn w:val="DefaultParagraphFont"/>
    <w:link w:val="Heading7"/>
    <w:semiHidden/>
    <w:rPr>
      <w:rFonts w:asciiTheme="majorHAnsi" w:eastAsiaTheme="majorEastAsia" w:hAnsiTheme="majorHAnsi" w:cstheme="majorBidi"/>
      <w:i/>
      <w:iCs/>
      <w:color w:val="3F3F3F"/>
    </w:rPr>
  </w:style>
  <w:style w:type="character" w:customStyle="1" w:styleId="Heading8Char">
    <w:name w:val="Heading 8 Char"/>
    <w:uiPriority w:val="9"/>
    <w:basedOn w:val="DefaultParagraphFont"/>
    <w:link w:val="Heading8"/>
    <w:semiHidden/>
    <w:rPr>
      <w:rFonts w:asciiTheme="majorHAnsi" w:eastAsiaTheme="majorEastAsia" w:hAnsiTheme="majorHAnsi" w:cstheme="majorBidi"/>
      <w:color w:val="4F81BD"/>
      <w:sz w:val="20"/>
      <w:szCs w:val="20"/>
    </w:rPr>
  </w:style>
  <w:style w:type="character" w:customStyle="1" w:styleId="Heading9Char">
    <w:name w:val="Heading 9 Char"/>
    <w:uiPriority w:val="9"/>
    <w:basedOn w:val="DefaultParagraphFont"/>
    <w:link w:val="Heading9"/>
    <w:semiHidden/>
    <w:rPr>
      <w:rFonts w:asciiTheme="majorHAnsi" w:eastAsiaTheme="majorEastAsia" w:hAnsiTheme="majorHAnsi" w:cstheme="majorBidi"/>
      <w:i/>
      <w:iCs/>
      <w:color w:val="3F3F3F"/>
      <w:sz w:val="20"/>
      <w:szCs w:val="20"/>
    </w:rPr>
  </w:style>
  <w:style w:type="paragraph" w:styleId="Caption">
    <w:name w:val="caption"/>
    <w:uiPriority w:val="35"/>
    <w:basedOn w:val="Normal"/>
    <w:next w:val="Normal"/>
    <w:qFormat/>
    <w:semiHidden/>
    <w:unhideWhenUsed/>
    <w:pPr>
      <w:spacing w:line="240" w:lineRule="auto"/>
    </w:pPr>
    <w:rPr>
      <w:b/>
      <w:bCs/>
      <w:color w:val="4F81BD"/>
      <w:sz w:val="18"/>
      <w:szCs w:val="18"/>
    </w:rPr>
  </w:style>
  <w:style w:type="character" w:styleId="Strong">
    <w:name w:val="Strong"/>
    <w:uiPriority w:val="22"/>
    <w:basedOn w:val="DefaultParagraphFont"/>
    <w:qFormat/>
    <w:rPr>
      <w:b/>
      <w:bCs/>
    </w:rPr>
  </w:style>
  <w:style w:type="character" w:styleId="Emphasis">
    <w:name w:val="Emphasis"/>
    <w:uiPriority w:val="20"/>
    <w:basedOn w:val="DefaultParagraphFont"/>
    <w:qFormat/>
    <w:rPr>
      <w:i/>
      <w:iCs/>
    </w:rPr>
  </w:style>
  <w:style w:type="paragraph" w:styleId="IntenseQuote">
    <w:name w:val="Intense Quote"/>
    <w:uiPriority w:val="30"/>
    <w:basedOn w:val="Normal"/>
    <w:next w:val="Normal"/>
    <w:link w:val="IntenseQuoteChar"/>
    <w:qFormat/>
    <w:pPr>
      <w:ind w:left="936" w:right="936"/>
      <w:pBdr>
        <w:bottom w:val="single" w:sz="4" w:space="4" w:color="4F81BD" w:themeColor="accent1"/>
      </w:pBdr>
      <w:spacing w:after="280" w:before="200"/>
    </w:pPr>
    <w:rPr>
      <w:b/>
      <w:bCs/>
      <w:i/>
      <w:iCs/>
      <w:color w:val="4F81BD"/>
    </w:rPr>
  </w:style>
  <w:style w:type="character" w:customStyle="1" w:styleId="IntenseQuoteChar">
    <w:name w:val="Intense Quote Char"/>
    <w:uiPriority w:val="30"/>
    <w:basedOn w:val="DefaultParagraphFont"/>
    <w:link w:val="IntenseQuote"/>
    <w:rPr>
      <w:b/>
      <w:bCs/>
      <w:i/>
      <w:iCs/>
      <w:color w:val="4F81BD"/>
    </w:rPr>
  </w:style>
  <w:style w:type="character" w:styleId="SubtleEmphasis">
    <w:name w:val="Subtle Emphasis"/>
    <w:uiPriority w:val="19"/>
    <w:basedOn w:val="DefaultParagraphFont"/>
    <w:qFormat/>
    <w:rPr>
      <w:i/>
      <w:iCs/>
      <w:color w:val="7F7F7F"/>
    </w:rPr>
  </w:style>
  <w:style w:type="character" w:styleId="IntenseEmphasis">
    <w:name w:val="Intense Emphasis"/>
    <w:uiPriority w:val="21"/>
    <w:basedOn w:val="DefaultParagraphFont"/>
    <w:qFormat/>
    <w:rPr>
      <w:b/>
      <w:bCs/>
      <w:i/>
      <w:iCs/>
      <w:color w:val="4F81BD"/>
    </w:rPr>
  </w:style>
  <w:style w:type="character" w:styleId="SubtleReference">
    <w:name w:val="Subtle Reference"/>
    <w:uiPriority w:val="31"/>
    <w:basedOn w:val="DefaultParagraphFont"/>
    <w:qFormat/>
    <w:rPr>
      <w:smallCaps/>
      <w:color w:val="C0504D"/>
      <w:u w:val="single" w:color="auto"/>
    </w:rPr>
  </w:style>
  <w:style w:type="character" w:styleId="IntenseReference">
    <w:name w:val="Intense Reference"/>
    <w:uiPriority w:val="32"/>
    <w:basedOn w:val="DefaultParagraphFont"/>
    <w:qFormat/>
    <w:rPr>
      <w:b/>
      <w:bCs/>
      <w:smallCaps/>
      <w:color w:val="C0504D"/>
      <w:u w:val="single" w:color="auto"/>
      <w:spacing w:val="5"/>
    </w:rPr>
  </w:style>
  <w:style w:type="character" w:styleId="BookTitle">
    <w:name w:val="Book Title"/>
    <w:uiPriority w:val="33"/>
    <w:basedOn w:val="DefaultParagraphFont"/>
    <w:qFormat/>
    <w:rPr>
      <w:b/>
      <w:bCs/>
      <w:smallCaps/>
      <w:spacing w:val="5"/>
    </w:rPr>
  </w:style>
  <w:style w:type="paragraph" w:styleId="TOCHeading">
    <w:name w:val="TOC Heading"/>
    <w:uiPriority w:val="39"/>
    <w:basedOn w:val="Heading1"/>
    <w:next w:val="Normal"/>
    <w:qFormat/>
    <w:semiHidden/>
    <w:unhideWhenUsed/>
    <w:pPr>
      <w:outlineLvl w:val="9"/>
    </w:pPr>
  </w:style>
  <w:style w:type="table" w:styleId="TableGrid">
    <w:name w:val="Table Grid"/>
    <w:uiPriority w:val="59"/>
    <w:basedOn w:val="TableNormal"/>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uiPriority w:val="60"/>
    <w:basedOn w:val="TableNormal"/>
    <w:pPr>
      <w:spacing w:after="0" w:line="240" w:lineRule="auto"/>
    </w:pPr>
    <w:rPr>
      <w:color w:val="000000"/>
    </w:rPr>
    <w:tblPr>
      <w:tblInd w:w="0" w:type="dxa"/>
      <w:tblBorders>
        <w:top w:val="single" w:sz="8" w:space="0" w:color="000000" w:themeColor="dk1"/>
        <w:bottom w:val="single" w:sz="8" w:space="0" w:color="000000" w:themeColor="dk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000000" w:themeColor="dk1"/>
          <w:left w:val="nil"/>
          <w:bottom w:val="single" w:sz="8" w:space="0" w:color="000000" w:themeColor="dk1"/>
          <w:right w:val="nil"/>
          <w:insideH w:val="nil"/>
          <w:insideV w:val="nil"/>
        </w:tcBorders>
      </w:tcPr>
    </w:tblStylePr>
    <w:tblStylePr w:type="lastRow">
      <w:pPr>
        <w:spacing w:after="0" w:before="0" w:line="240" w:lineRule="auto"/>
      </w:pPr>
      <w:rPr>
        <w:b/>
        <w:bCs/>
      </w:rPr>
      <w:tblPr/>
      <w:tcPr>
        <w:tcBorders>
          <w:top w:val="single" w:sz="8" w:space="0" w:color="000000" w:themeColor="dk1"/>
          <w:left w:val="nil"/>
          <w:bottom w:val="single" w:sz="8" w:space="0" w:color="000000" w:themeColor="dk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dk1" w:themeFillTint="3f"/>
      </w:tcPr>
    </w:tblStylePr>
    <w:tblStylePr w:type="band1Horz">
      <w:tblPr/>
      <w:tcPr>
        <w:tcBorders>
          <w:left w:val="nil"/>
          <w:right w:val="nil"/>
          <w:insideH w:val="nil"/>
          <w:insideV w:val="nil"/>
        </w:tcBorders>
        <w:shd w:val="clear" w:color="auto" w:fill="BFBFBF" w:themeFill="dk1" w:themeFillTint="3f"/>
      </w:tcPr>
    </w:tblStylePr>
  </w:style>
  <w:style w:type="table" w:styleId="LightShading-Accent1">
    <w:name w:val="Light Shading Accent 1"/>
    <w:uiPriority w:val="60"/>
    <w:basedOn w:val="TableNormal"/>
    <w:pPr>
      <w:spacing w:after="0" w:line="240" w:lineRule="auto"/>
    </w:pPr>
    <w:rPr>
      <w:color w:val="376092"/>
    </w:rPr>
    <w:tblPr>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after="0" w:before="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uiPriority w:val="60"/>
    <w:basedOn w:val="TableNormal"/>
    <w:pPr>
      <w:spacing w:after="0" w:line="240" w:lineRule="auto"/>
    </w:pPr>
    <w:rPr>
      <w:color w:val="953735"/>
    </w:rPr>
    <w:tblPr>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after="0" w:before="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LightShading-Accent3">
    <w:name w:val="Light Shading Accent 3"/>
    <w:uiPriority w:val="60"/>
    <w:basedOn w:val="TableNormal"/>
    <w:pPr>
      <w:spacing w:after="0" w:line="240" w:lineRule="auto"/>
    </w:pPr>
    <w:rPr>
      <w:color w:val="76933C"/>
    </w:rPr>
    <w:tblPr>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after="0" w:before="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uiPriority w:val="60"/>
    <w:basedOn w:val="TableNormal"/>
    <w:pPr>
      <w:spacing w:after="0" w:line="240" w:lineRule="auto"/>
    </w:pPr>
    <w:rPr>
      <w:color w:val="604A7B"/>
    </w:rPr>
    <w:tblPr>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after="0" w:before="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uiPriority w:val="60"/>
    <w:basedOn w:val="TableNormal"/>
    <w:pPr>
      <w:spacing w:after="0" w:line="240" w:lineRule="auto"/>
    </w:pPr>
    <w:rPr>
      <w:color w:val="31859B"/>
    </w:rPr>
    <w:tblPr>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after="0" w:before="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LightShading-Accent6">
    <w:name w:val="Light Shading Accent 6"/>
    <w:uiPriority w:val="60"/>
    <w:basedOn w:val="TableNormal"/>
    <w:pPr>
      <w:spacing w:after="0" w:line="240" w:lineRule="auto"/>
    </w:pPr>
    <w:rPr>
      <w:color w:val="E46C0A"/>
    </w:rPr>
    <w:tblPr>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after="0" w:before="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LightList">
    <w:name w:val="Light List"/>
    <w:uiPriority w:val="61"/>
    <w:basedOn w:val="TableNormal"/>
    <w:pPr>
      <w:spacing w:after="0" w:line="240" w:lineRule="auto"/>
    </w:pPr>
    <w:tblPr>
      <w:tblInd w:w="0" w:type="dxa"/>
      <w:tblBorders>
        <w:top w:val="single" w:sz="8" w:space="0" w:color="000000" w:themeColor="dk1"/>
        <w:left w:val="single" w:sz="8" w:space="0" w:color="000000" w:themeColor="dk1"/>
        <w:bottom w:val="single" w:sz="8" w:space="0" w:color="000000" w:themeColor="dk1"/>
        <w:right w:val="single" w:sz="8" w:space="0" w:color="000000" w:themeColor="dk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000000" w:themeFill="dk1"/>
      </w:tcPr>
    </w:tblStylePr>
    <w:tblStylePr w:type="lastRow">
      <w:pPr>
        <w:spacing w:after="0" w:before="0" w:line="240" w:lineRule="auto"/>
      </w:pPr>
      <w:rPr>
        <w:b/>
        <w:bCs/>
      </w:rPr>
      <w:tblPr/>
      <w:tcPr>
        <w:tcBorders>
          <w:top w:val="double" w:sz="6" w:space="0" w:color="000000" w:themeColor="dk1"/>
          <w:left w:val="single" w:sz="8" w:space="0" w:color="000000" w:themeColor="dk1"/>
          <w:bottom w:val="single" w:sz="8" w:space="0" w:color="000000" w:themeColor="dk1"/>
          <w:right w:val="single" w:sz="8" w:space="0" w:color="000000" w:themeColor="dk1"/>
        </w:tcBorders>
      </w:tcPr>
    </w:tblStylePr>
    <w:tblStylePr w:type="firstCol">
      <w:rPr>
        <w:b/>
        <w:bCs/>
      </w:rPr>
    </w:tblStylePr>
    <w:tblStylePr w:type="lastCol">
      <w:rPr>
        <w:b/>
        <w:bCs/>
      </w:rPr>
    </w:tblStylePr>
    <w:tblStylePr w:type="band1Vert">
      <w:tblPr/>
      <w:tcPr>
        <w:tcBorders>
          <w:top w:val="single" w:sz="8" w:space="0" w:color="000000" w:themeColor="dk1"/>
          <w:left w:val="single" w:sz="8" w:space="0" w:color="000000" w:themeColor="dk1"/>
          <w:bottom w:val="single" w:sz="8" w:space="0" w:color="000000" w:themeColor="dk1"/>
          <w:right w:val="single" w:sz="8" w:space="0" w:color="000000" w:themeColor="dk1"/>
        </w:tcBorders>
      </w:tcPr>
    </w:tblStylePr>
    <w:tblStylePr w:type="band1Horz">
      <w:tblPr/>
      <w:tcPr>
        <w:tcBorders>
          <w:top w:val="single" w:sz="8" w:space="0" w:color="000000" w:themeColor="dk1"/>
          <w:left w:val="single" w:sz="8" w:space="0" w:color="000000" w:themeColor="dk1"/>
          <w:bottom w:val="single" w:sz="8" w:space="0" w:color="000000" w:themeColor="dk1"/>
          <w:right w:val="single" w:sz="8" w:space="0" w:color="000000" w:themeColor="dk1"/>
        </w:tcBorders>
      </w:tcPr>
    </w:tblStylePr>
  </w:style>
  <w:style w:type="table" w:styleId="LightList-Accent1">
    <w:name w:val="Light List Accent 1"/>
    <w:uiPriority w:val="61"/>
    <w:basedOn w:val="TableNormal"/>
    <w:pPr>
      <w:spacing w:after="0" w:line="240" w:lineRule="auto"/>
    </w:p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4F81BD" w:themeFill="accent1"/>
      </w:tcPr>
    </w:tblStylePr>
    <w:tblStylePr w:type="lastRow">
      <w:pPr>
        <w:spacing w:after="0" w:before="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uiPriority w:val="61"/>
    <w:basedOn w:val="TableNormal"/>
    <w:pPr>
      <w:spacing w:after="0" w:line="240" w:lineRule="auto"/>
    </w:p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C0504D" w:themeFill="accent2"/>
      </w:tcPr>
    </w:tblStylePr>
    <w:tblStylePr w:type="lastRow">
      <w:pPr>
        <w:spacing w:after="0" w:before="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uiPriority w:val="61"/>
    <w:basedOn w:val="TableNormal"/>
    <w:pPr>
      <w:spacing w:after="0" w:line="240" w:lineRule="auto"/>
    </w:p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9BBB59" w:themeFill="accent3"/>
      </w:tcPr>
    </w:tblStylePr>
    <w:tblStylePr w:type="lastRow">
      <w:pPr>
        <w:spacing w:after="0" w:before="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uiPriority w:val="61"/>
    <w:basedOn w:val="TableNormal"/>
    <w:pPr>
      <w:spacing w:after="0" w:line="240" w:lineRule="auto"/>
    </w:p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8064A2" w:themeFill="accent4"/>
      </w:tcPr>
    </w:tblStylePr>
    <w:tblStylePr w:type="lastRow">
      <w:pPr>
        <w:spacing w:after="0" w:before="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uiPriority w:val="61"/>
    <w:basedOn w:val="TableNormal"/>
    <w:pPr>
      <w:spacing w:after="0" w:line="240" w:lineRule="auto"/>
    </w:p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4BACC6" w:themeFill="accent5"/>
      </w:tcPr>
    </w:tblStylePr>
    <w:tblStylePr w:type="lastRow">
      <w:pPr>
        <w:spacing w:after="0" w:before="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uiPriority w:val="61"/>
    <w:basedOn w:val="TableNormal"/>
    <w:pPr>
      <w:spacing w:after="0" w:line="240" w:lineRule="auto"/>
    </w:p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F79646" w:themeFill="accent6"/>
      </w:tcPr>
    </w:tblStylePr>
    <w:tblStylePr w:type="lastRow">
      <w:pPr>
        <w:spacing w:after="0" w:before="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uiPriority w:val="62"/>
    <w:basedOn w:val="TableNormal"/>
    <w:pPr>
      <w:spacing w:after="0" w:line="240" w:lineRule="auto"/>
    </w:pPr>
    <w:tblPr>
      <w:tblInd w:w="0" w:type="dxa"/>
      <w:tblBorders>
        <w:top w:val="single" w:sz="8" w:space="0" w:color="000000" w:themeColor="dk1"/>
        <w:left w:val="single" w:sz="8" w:space="0" w:color="000000" w:themeColor="dk1"/>
        <w:bottom w:val="single" w:sz="8" w:space="0" w:color="000000" w:themeColor="dk1"/>
        <w:right w:val="single" w:sz="8" w:space="0" w:color="000000" w:themeColor="dk1"/>
        <w:insideH w:val="single" w:sz="8" w:space="0" w:color="000000" w:themeColor="dk1"/>
        <w:insideV w:val="single" w:sz="8" w:space="0" w:color="000000" w:themeColor="dk1"/>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000000" w:themeColor="dk1"/>
          <w:left w:val="single" w:sz="8" w:space="0" w:color="000000" w:themeColor="dk1"/>
          <w:bottom w:val="single" w:sz="18" w:space="0" w:color="000000" w:themeColor="dk1"/>
          <w:right w:val="single" w:sz="8" w:space="0" w:color="000000" w:themeColor="dk1"/>
          <w:insideH w:val="nil"/>
          <w:insideV w:val="single" w:sz="8" w:space="0" w:color="000000" w:themeColor="dk1"/>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000000" w:themeColor="dk1"/>
          <w:left w:val="single" w:sz="8" w:space="0" w:color="000000" w:themeColor="dk1"/>
          <w:bottom w:val="single" w:sz="8" w:space="0" w:color="000000" w:themeColor="dk1"/>
          <w:right w:val="single" w:sz="8" w:space="0" w:color="000000" w:themeColor="dk1"/>
          <w:insideH w:val="nil"/>
          <w:insideV w:val="single" w:sz="8" w:space="0" w:color="000000" w:themeColor="dk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dk1"/>
          <w:left w:val="single" w:sz="8" w:space="0" w:color="000000" w:themeColor="dk1"/>
          <w:bottom w:val="single" w:sz="8" w:space="0" w:color="000000" w:themeColor="dk1"/>
          <w:right w:val="single" w:sz="8" w:space="0" w:color="000000" w:themeColor="dk1"/>
        </w:tcBorders>
      </w:tcPr>
    </w:tblStylePr>
    <w:tblStylePr w:type="band1Vert">
      <w:tblPr/>
      <w:tcPr>
        <w:tcBorders>
          <w:top w:val="single" w:sz="8" w:space="0" w:color="000000" w:themeColor="dk1"/>
          <w:left w:val="single" w:sz="8" w:space="0" w:color="000000" w:themeColor="dk1"/>
          <w:bottom w:val="single" w:sz="8" w:space="0" w:color="000000" w:themeColor="dk1"/>
          <w:right w:val="single" w:sz="8" w:space="0" w:color="000000" w:themeColor="dk1"/>
        </w:tcBorders>
        <w:shd w:val="clear" w:color="auto" w:fill="BFBFBF" w:themeFill="dk1" w:themeFillTint="3f"/>
      </w:tcPr>
    </w:tblStylePr>
    <w:tblStylePr w:type="band1Horz">
      <w:tblPr/>
      <w:tcPr>
        <w:tcBorders>
          <w:top w:val="single" w:sz="8" w:space="0" w:color="000000" w:themeColor="dk1"/>
          <w:left w:val="single" w:sz="8" w:space="0" w:color="000000" w:themeColor="dk1"/>
          <w:bottom w:val="single" w:sz="8" w:space="0" w:color="000000" w:themeColor="dk1"/>
          <w:right w:val="single" w:sz="8" w:space="0" w:color="000000" w:themeColor="dk1"/>
          <w:insideV w:val="single" w:sz="8" w:space="0" w:color="000000" w:themeColor="dk1"/>
        </w:tcBorders>
        <w:shd w:val="clear" w:color="auto" w:fill="BFBFBF" w:themeFill="dk1" w:themeFillTint="3f"/>
      </w:tcPr>
    </w:tblStylePr>
    <w:tblStylePr w:type="band2Horz">
      <w:tblPr/>
      <w:tcPr>
        <w:tcBorders>
          <w:top w:val="single" w:sz="8" w:space="0" w:color="000000" w:themeColor="dk1"/>
          <w:left w:val="single" w:sz="8" w:space="0" w:color="000000" w:themeColor="dk1"/>
          <w:bottom w:val="single" w:sz="8" w:space="0" w:color="000000" w:themeColor="dk1"/>
          <w:right w:val="single" w:sz="8" w:space="0" w:color="000000" w:themeColor="dk1"/>
          <w:insideV w:val="single" w:sz="8" w:space="0" w:color="000000" w:themeColor="dk1"/>
        </w:tcBorders>
      </w:tcPr>
    </w:tblStylePr>
  </w:style>
  <w:style w:type="table" w:styleId="LightGrid-Accent1">
    <w:name w:val="Light Grid Accent 1"/>
    <w:uiPriority w:val="62"/>
    <w:basedOn w:val="TableNormal"/>
    <w:pPr>
      <w:spacing w:after="0" w:line="240" w:lineRule="auto"/>
    </w:p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uiPriority w:val="62"/>
    <w:basedOn w:val="TableNormal"/>
    <w:pPr>
      <w:spacing w:after="0" w:line="240" w:lineRule="auto"/>
    </w:p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3"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3"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uiPriority w:val="62"/>
    <w:basedOn w:val="TableNormal"/>
    <w:pPr>
      <w:spacing w:after="0" w:line="240" w:lineRule="auto"/>
    </w:p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uiPriority w:val="62"/>
    <w:basedOn w:val="TableNormal"/>
    <w:pPr>
      <w:spacing w:after="0" w:line="240" w:lineRule="auto"/>
    </w:p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uiPriority w:val="62"/>
    <w:basedOn w:val="TableNormal"/>
    <w:pPr>
      <w:spacing w:after="0" w:line="240" w:lineRule="auto"/>
    </w:p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0"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0"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uiPriority w:val="62"/>
    <w:basedOn w:val="TableNormal"/>
    <w:pPr>
      <w:spacing w:after="0" w:line="240" w:lineRule="auto"/>
    </w:p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5D1"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5D1"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uiPriority w:val="63"/>
    <w:basedOn w:val="TableNormal"/>
    <w:pPr>
      <w:spacing w:after="0" w:line="240" w:lineRule="auto"/>
    </w:pPr>
    <w:tblPr>
      <w:tblInd w:w="0" w:type="dxa"/>
      <w:tblBorders>
        <w:top w:val="single" w:sz="8" w:space="0" w:color="3F3F3F" w:themeColor="dk1" w:themeTint="bf"/>
        <w:left w:val="single" w:sz="8" w:space="0" w:color="3F3F3F" w:themeColor="dk1" w:themeTint="bf"/>
        <w:bottom w:val="single" w:sz="8" w:space="0" w:color="3F3F3F" w:themeColor="dk1" w:themeTint="bf"/>
        <w:right w:val="single" w:sz="8" w:space="0" w:color="3F3F3F" w:themeColor="dk1" w:themeTint="bf"/>
        <w:insideH w:val="single" w:sz="8" w:space="0" w:color="3F3F3F" w:themeColor="dk1"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3F3F3F" w:themeColor="dk1" w:themeTint="bf"/>
          <w:left w:val="single" w:sz="8" w:space="0" w:color="3F3F3F" w:themeColor="dk1" w:themeTint="bf"/>
          <w:bottom w:val="single" w:sz="8" w:space="0" w:color="3F3F3F" w:themeColor="dk1" w:themeTint="bf"/>
          <w:right w:val="single" w:sz="8" w:space="0" w:color="3F3F3F" w:themeColor="dk1" w:themeTint="bf"/>
          <w:insideH w:val="nil"/>
          <w:insideV w:val="nil"/>
        </w:tcBorders>
        <w:shd w:val="clear" w:color="auto" w:fill="000000" w:themeFill="dk1"/>
      </w:tcPr>
    </w:tblStylePr>
    <w:tblStylePr w:type="lastRow">
      <w:pPr>
        <w:spacing w:after="0" w:before="0" w:line="240" w:lineRule="auto"/>
      </w:pPr>
      <w:rPr>
        <w:b/>
        <w:bCs/>
      </w:rPr>
      <w:tblPr/>
      <w:tcPr>
        <w:tcBorders>
          <w:top w:val="double" w:sz="6" w:space="0" w:color="3F3F3F" w:themeColor="dk1" w:themeTint="bf"/>
          <w:left w:val="single" w:sz="8" w:space="0" w:color="3F3F3F" w:themeColor="dk1" w:themeTint="bf"/>
          <w:bottom w:val="single" w:sz="8" w:space="0" w:color="3F3F3F" w:themeColor="dk1" w:themeTint="bf"/>
          <w:right w:val="single" w:sz="8" w:space="0" w:color="3F3F3F" w:themeColor="dk1" w:themeTint="bf"/>
          <w:insideH w:val="nil"/>
          <w:insideV w:val="nil"/>
        </w:tcBorders>
      </w:tcPr>
    </w:tblStylePr>
    <w:tblStylePr w:type="firstCol">
      <w:rPr>
        <w:b/>
        <w:bCs/>
      </w:rPr>
    </w:tblStylePr>
    <w:tblStylePr w:type="lastCol">
      <w:rPr>
        <w:b/>
        <w:bCs/>
      </w:rPr>
    </w:tblStylePr>
    <w:tblStylePr w:type="band1Vert">
      <w:tblPr/>
      <w:tcPr>
        <w:shd w:val="clear" w:color="auto" w:fill="BFBFBF" w:themeFill="dk1" w:themeFillTint="3f"/>
      </w:tcPr>
    </w:tblStylePr>
    <w:tblStylePr w:type="band1Horz">
      <w:tblPr/>
      <w:tcPr>
        <w:tcBorders>
          <w:insideH w:val="nil"/>
          <w:insideV w:val="nil"/>
        </w:tcBorders>
        <w:shd w:val="clear" w:color="auto" w:fill="BFBFBF" w:themeFill="dk1" w:themeFillTint="3f"/>
      </w:tcPr>
    </w:tblStylePr>
    <w:tblStylePr w:type="band2Horz">
      <w:tblPr/>
      <w:tcPr>
        <w:tcBorders>
          <w:insideH w:val="nil"/>
          <w:insideV w:val="nil"/>
        </w:tcBorders>
      </w:tcPr>
    </w:tblStylePr>
  </w:style>
  <w:style w:type="table" w:styleId="MediumShading1-Accent1">
    <w:name w:val="Medium Shading 1 Accent 1"/>
    <w:uiPriority w:val="63"/>
    <w:basedOn w:val="TableNormal"/>
    <w:pPr>
      <w:spacing w:after="0" w:line="240" w:lineRule="auto"/>
    </w:pPr>
    <w:tblPr>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after="0" w:before="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uiPriority w:val="63"/>
    <w:basedOn w:val="TableNormal"/>
    <w:pPr>
      <w:spacing w:after="0" w:line="240" w:lineRule="auto"/>
    </w:pPr>
    <w:tblPr>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after="0" w:before="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MediumShading1-Accent3">
    <w:name w:val="Medium Shading 1 Accent 3"/>
    <w:uiPriority w:val="63"/>
    <w:basedOn w:val="TableNormal"/>
    <w:pPr>
      <w:spacing w:after="0" w:line="240" w:lineRule="auto"/>
    </w:pPr>
    <w:tblPr>
      <w:tblInd w:w="0" w:type="dxa"/>
      <w:tblBorders>
        <w:top w:val="single" w:sz="8" w:space="0" w:color="B4CC82" w:themeColor="accent3" w:themeTint="bf"/>
        <w:left w:val="single" w:sz="8" w:space="0" w:color="B4CC82" w:themeColor="accent3" w:themeTint="bf"/>
        <w:bottom w:val="single" w:sz="8" w:space="0" w:color="B4CC82" w:themeColor="accent3" w:themeTint="bf"/>
        <w:right w:val="single" w:sz="8" w:space="0" w:color="B4CC82" w:themeColor="accent3" w:themeTint="bf"/>
        <w:insideH w:val="single" w:sz="8" w:space="0" w:color="B4CC82" w:themeColor="accent3"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B4CC82" w:themeColor="accent3" w:themeTint="bf"/>
          <w:left w:val="single" w:sz="8" w:space="0" w:color="B4CC82" w:themeColor="accent3" w:themeTint="bf"/>
          <w:bottom w:val="single" w:sz="8" w:space="0" w:color="B4CC82" w:themeColor="accent3" w:themeTint="bf"/>
          <w:right w:val="single" w:sz="8" w:space="0" w:color="B4CC82" w:themeColor="accent3" w:themeTint="bf"/>
          <w:insideH w:val="nil"/>
          <w:insideV w:val="nil"/>
        </w:tcBorders>
        <w:shd w:val="clear" w:color="auto" w:fill="9BBB59" w:themeFill="accent3"/>
      </w:tcPr>
    </w:tblStylePr>
    <w:tblStylePr w:type="lastRow">
      <w:pPr>
        <w:spacing w:after="0" w:before="0" w:line="240" w:lineRule="auto"/>
      </w:pPr>
      <w:rPr>
        <w:b/>
        <w:bCs/>
      </w:rPr>
      <w:tblPr/>
      <w:tcPr>
        <w:tcBorders>
          <w:top w:val="double" w:sz="6" w:space="0" w:color="B4CC82" w:themeColor="accent3" w:themeTint="bf"/>
          <w:left w:val="single" w:sz="8" w:space="0" w:color="B4CC82" w:themeColor="accent3" w:themeTint="bf"/>
          <w:bottom w:val="single" w:sz="8" w:space="0" w:color="B4CC82" w:themeColor="accent3" w:themeTint="bf"/>
          <w:right w:val="single" w:sz="8" w:space="0" w:color="B4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uiPriority w:val="63"/>
    <w:basedOn w:val="TableNormal"/>
    <w:pPr>
      <w:spacing w:after="0" w:line="240" w:lineRule="auto"/>
    </w:pPr>
    <w:tblPr>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after="0" w:before="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uiPriority w:val="63"/>
    <w:basedOn w:val="TableNormal"/>
    <w:pPr>
      <w:spacing w:after="0" w:line="240" w:lineRule="auto"/>
    </w:pPr>
    <w:tblPr>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after="0" w:before="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MediumShading1-Accent6">
    <w:name w:val="Medium Shading 1 Accent 6"/>
    <w:uiPriority w:val="63"/>
    <w:basedOn w:val="TableNormal"/>
    <w:pPr>
      <w:spacing w:after="0" w:line="240" w:lineRule="auto"/>
    </w:pPr>
    <w:tblPr>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after="0" w:before="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MediumShading2">
    <w:name w:val="Medium Shading 2"/>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dk1"/>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lt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dk1"/>
      </w:tcPr>
    </w:tblStylePr>
    <w:tblStylePr w:type="lastCol">
      <w:rPr>
        <w:b/>
        <w:bCs/>
        <w:color w:val="FFFFFF"/>
      </w:rPr>
      <w:tblPr/>
      <w:tcPr>
        <w:tcBorders>
          <w:left w:val="nil"/>
          <w:right w:val="nil"/>
          <w:insideH w:val="nil"/>
          <w:insideV w:val="nil"/>
        </w:tcBorders>
        <w:shd w:val="clear" w:color="auto" w:fill="000000" w:themeFill="dk1"/>
      </w:tcPr>
    </w:tblStylePr>
    <w:tblStylePr w:type="band1Vert">
      <w:tblPr/>
      <w:tcPr>
        <w:tcBorders>
          <w:left w:val="nil"/>
          <w:right w:val="nil"/>
          <w:insideH w:val="nil"/>
          <w:insideV w:val="nil"/>
        </w:tcBorders>
        <w:shd w:val="clear" w:color="auto" w:fill="D8D8D8" w:themeFill="lt1" w:themeFillShade="d8"/>
      </w:tcPr>
    </w:tblStylePr>
    <w:tblStylePr w:type="band1Horz">
      <w:tblPr/>
      <w:tcPr>
        <w:shd w:val="clear" w:color="auto" w:fill="D8D8D8" w:themeFill="lt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lt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lt1" w:themeFillShade="d8"/>
      </w:tcPr>
    </w:tblStylePr>
    <w:tblStylePr w:type="band1Horz">
      <w:tblPr/>
      <w:tcPr>
        <w:shd w:val="clear" w:color="auto" w:fill="D8D8D8" w:themeFill="lt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lt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lt1" w:themeFillShade="d8"/>
      </w:tcPr>
    </w:tblStylePr>
    <w:tblStylePr w:type="band1Horz">
      <w:tblPr/>
      <w:tcPr>
        <w:shd w:val="clear" w:color="auto" w:fill="D8D8D8" w:themeFill="lt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lt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lt1" w:themeFillShade="d8"/>
      </w:tcPr>
    </w:tblStylePr>
    <w:tblStylePr w:type="band1Horz">
      <w:tblPr/>
      <w:tcPr>
        <w:shd w:val="clear" w:color="auto" w:fill="D8D8D8" w:themeFill="lt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lt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lt1" w:themeFillShade="d8"/>
      </w:tcPr>
    </w:tblStylePr>
    <w:tblStylePr w:type="band1Horz">
      <w:tblPr/>
      <w:tcPr>
        <w:shd w:val="clear" w:color="auto" w:fill="D8D8D8" w:themeFill="lt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lt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lt1" w:themeFillShade="d8"/>
      </w:tcPr>
    </w:tblStylePr>
    <w:tblStylePr w:type="band1Horz">
      <w:tblPr/>
      <w:tcPr>
        <w:shd w:val="clear" w:color="auto" w:fill="D8D8D8" w:themeFill="lt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lt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lt1" w:themeFillShade="d8"/>
      </w:tcPr>
    </w:tblStylePr>
    <w:tblStylePr w:type="band1Horz">
      <w:tblPr/>
      <w:tcPr>
        <w:shd w:val="clear" w:color="auto" w:fill="D8D8D8" w:themeFill="lt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uiPriority w:val="65"/>
    <w:basedOn w:val="TableNormal"/>
    <w:pPr>
      <w:spacing w:after="0" w:line="240" w:lineRule="auto"/>
    </w:pPr>
    <w:rPr>
      <w:color w:val="000000"/>
    </w:rPr>
    <w:tblPr>
      <w:tblInd w:w="0" w:type="dxa"/>
      <w:tblBorders>
        <w:top w:val="single" w:sz="8" w:space="0" w:color="000000" w:themeColor="dk1"/>
        <w:bottom w:val="single" w:sz="8" w:space="0" w:color="000000" w:themeColor="dk1"/>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000000" w:themeColor="dk1"/>
        </w:tcBorders>
      </w:tcPr>
    </w:tblStylePr>
    <w:tblStylePr w:type="lastRow">
      <w:rPr>
        <w:b/>
        <w:bCs/>
        <w:color w:val="1F497D"/>
      </w:rPr>
      <w:tblPr/>
      <w:tcPr>
        <w:tcBorders>
          <w:top w:val="single" w:sz="8" w:space="0" w:color="000000" w:themeColor="dk1"/>
          <w:bottom w:val="single" w:sz="8" w:space="0" w:color="000000" w:themeColor="dk1"/>
        </w:tcBorders>
      </w:tcPr>
    </w:tblStylePr>
    <w:tblStylePr w:type="firstCol">
      <w:rPr>
        <w:b/>
        <w:bCs/>
      </w:rPr>
    </w:tblStylePr>
    <w:tblStylePr w:type="lastCol">
      <w:rPr>
        <w:b/>
        <w:bCs/>
      </w:rPr>
      <w:tblPr/>
      <w:tcPr>
        <w:tcBorders>
          <w:top w:val="single" w:sz="8" w:space="0" w:color="000000" w:themeColor="dk1"/>
          <w:bottom w:val="single" w:sz="8" w:space="0" w:color="000000" w:themeColor="dk1"/>
        </w:tcBorders>
      </w:tcPr>
    </w:tblStylePr>
    <w:tblStylePr w:type="band1Vert">
      <w:tblPr/>
      <w:tcPr>
        <w:shd w:val="clear" w:color="auto" w:fill="BFBFBF" w:themeFill="dk1" w:themeFillTint="3f"/>
      </w:tcPr>
    </w:tblStylePr>
    <w:tblStylePr w:type="band1Horz">
      <w:tblPr/>
      <w:tcPr>
        <w:shd w:val="clear" w:color="auto" w:fill="BFBFBF" w:themeFill="dk1" w:themeFillTint="3f"/>
      </w:tcPr>
    </w:tblStylePr>
  </w:style>
  <w:style w:type="table" w:styleId="MediumList1-Accent1">
    <w:name w:val="Medium List 1 Accent 1"/>
    <w:uiPriority w:val="65"/>
    <w:basedOn w:val="TableNormal"/>
    <w:pPr>
      <w:spacing w:after="0" w:line="240" w:lineRule="auto"/>
    </w:pPr>
    <w:rPr>
      <w:color w:val="000000"/>
    </w:rPr>
    <w:tblPr>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uiPriority w:val="65"/>
    <w:basedOn w:val="TableNormal"/>
    <w:pPr>
      <w:spacing w:after="0" w:line="240" w:lineRule="auto"/>
    </w:pPr>
    <w:rPr>
      <w:color w:val="000000"/>
    </w:rPr>
    <w:tblPr>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MediumList1-Accent3">
    <w:name w:val="Medium List 1 Accent 3"/>
    <w:uiPriority w:val="65"/>
    <w:basedOn w:val="TableNormal"/>
    <w:pPr>
      <w:spacing w:after="0" w:line="240" w:lineRule="auto"/>
    </w:pPr>
    <w:rPr>
      <w:color w:val="000000"/>
    </w:rPr>
    <w:tblPr>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uiPriority w:val="65"/>
    <w:basedOn w:val="TableNormal"/>
    <w:pPr>
      <w:spacing w:after="0" w:line="240" w:lineRule="auto"/>
    </w:pPr>
    <w:rPr>
      <w:color w:val="000000"/>
    </w:rPr>
    <w:tblPr>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uiPriority w:val="65"/>
    <w:basedOn w:val="TableNormal"/>
    <w:pPr>
      <w:spacing w:after="0" w:line="240" w:lineRule="auto"/>
    </w:pPr>
    <w:rPr>
      <w:color w:val="000000"/>
    </w:rPr>
    <w:tblPr>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MediumList1-Accent6">
    <w:name w:val="Medium List 1 Accent 6"/>
    <w:uiPriority w:val="65"/>
    <w:basedOn w:val="TableNormal"/>
    <w:pPr>
      <w:spacing w:after="0" w:line="240" w:lineRule="auto"/>
    </w:pPr>
    <w:rPr>
      <w:color w:val="000000"/>
    </w:rPr>
    <w:tblPr>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MediumList2">
    <w:name w:val="Medium List 2"/>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000000" w:themeColor="dk1"/>
        <w:left w:val="single" w:sz="8" w:space="0" w:color="000000" w:themeColor="dk1"/>
        <w:bottom w:val="single" w:sz="8" w:space="0" w:color="000000" w:themeColor="dk1"/>
        <w:right w:val="single" w:sz="8" w:space="0" w:color="000000" w:themeColor="dk1"/>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000000" w:themeColor="dk1"/>
          <w:right w:val="nil"/>
          <w:insideH w:val="nil"/>
          <w:insideV w:val="nil"/>
        </w:tcBorders>
        <w:shd w:val="clear" w:color="auto" w:fill="FFFFFF" w:themeFill="lt1"/>
      </w:tcPr>
    </w:tblStylePr>
    <w:tblStylePr w:type="lastRow">
      <w:tblPr/>
      <w:tcPr>
        <w:tcBorders>
          <w:top w:val="single" w:sz="8" w:space="0" w:color="000000" w:themeColor="dk1"/>
          <w:left w:val="nil"/>
          <w:bottom w:val="nil"/>
          <w:right w:val="nil"/>
          <w:insideH w:val="nil"/>
          <w:insideV w:val="nil"/>
        </w:tcBorders>
        <w:shd w:val="clear" w:color="auto" w:fill="FFFFFF" w:themeFill="lt1"/>
      </w:tcPr>
    </w:tblStylePr>
    <w:tblStylePr w:type="firstCol">
      <w:tblPr/>
      <w:tcPr>
        <w:tcBorders>
          <w:top w:val="nil"/>
          <w:left w:val="nil"/>
          <w:bottom w:val="nil"/>
          <w:right w:val="single" w:sz="8" w:space="0" w:color="000000" w:themeColor="dk1"/>
          <w:insideH w:val="nil"/>
          <w:insideV w:val="nil"/>
        </w:tcBorders>
        <w:shd w:val="clear" w:color="auto" w:fill="FFFFFF" w:themeFill="lt1"/>
      </w:tcPr>
    </w:tblStylePr>
    <w:tblStylePr w:type="lastCol">
      <w:tblPr/>
      <w:tcPr>
        <w:tcBorders>
          <w:top w:val="nil"/>
          <w:left w:val="single" w:sz="8" w:space="0" w:color="000000" w:themeColor="dk1"/>
          <w:bottom w:val="nil"/>
          <w:right w:val="nil"/>
          <w:insideH w:val="nil"/>
          <w:insideV w:val="nil"/>
        </w:tcBorders>
        <w:shd w:val="clear" w:color="auto" w:fill="FFFFFF" w:themeFill="lt1"/>
      </w:tcPr>
    </w:tblStylePr>
    <w:tblStylePr w:type="band1Vert">
      <w:tblPr/>
      <w:tcPr>
        <w:tcBorders>
          <w:left w:val="nil"/>
          <w:right w:val="nil"/>
          <w:insideH w:val="nil"/>
          <w:insideV w:val="nil"/>
        </w:tcBorders>
        <w:shd w:val="clear" w:color="auto" w:fill="BFBFBF" w:themeFill="dk1" w:themeFillTint="3f"/>
      </w:tcPr>
    </w:tblStylePr>
    <w:tblStylePr w:type="band1Horz">
      <w:tblPr/>
      <w:tcPr>
        <w:tcBorders>
          <w:top w:val="nil"/>
          <w:bottom w:val="nil"/>
          <w:insideH w:val="nil"/>
          <w:insideV w:val="nil"/>
        </w:tcBorders>
        <w:shd w:val="clear" w:color="auto" w:fill="BFBFBF" w:themeFill="dk1" w:themeFillTint="3f"/>
      </w:tcPr>
    </w:tblStylePr>
    <w:tblStylePr w:type="nwCell">
      <w:tblPr/>
      <w:tcPr>
        <w:shd w:val="clear" w:color="auto" w:fill="FFFFFF" w:themeFill="lt1"/>
      </w:tcPr>
    </w:tblStylePr>
    <w:tblStylePr w:type="swCell">
      <w:tblPr/>
      <w:tcPr>
        <w:tcBorders>
          <w:top w:val="nil"/>
        </w:tcBorders>
      </w:tcPr>
    </w:tblStylePr>
  </w:style>
  <w:style w:type="table" w:styleId="MediumList2-Accent1">
    <w:name w:val="Medium List 2 Accent 1"/>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lt1"/>
      </w:tcPr>
    </w:tblStylePr>
    <w:tblStylePr w:type="lastRow">
      <w:tblPr/>
      <w:tcPr>
        <w:tcBorders>
          <w:top w:val="single" w:sz="8" w:space="0" w:color="4F81BD" w:themeColor="accent1"/>
          <w:left w:val="nil"/>
          <w:bottom w:val="nil"/>
          <w:right w:val="nil"/>
          <w:insideH w:val="nil"/>
          <w:insideV w:val="nil"/>
        </w:tcBorders>
        <w:shd w:val="clear" w:color="auto" w:fill="FFFFFF" w:themeFill="lt1"/>
      </w:tcPr>
    </w:tblStylePr>
    <w:tblStylePr w:type="firstCol">
      <w:tblPr/>
      <w:tcPr>
        <w:tcBorders>
          <w:top w:val="nil"/>
          <w:left w:val="nil"/>
          <w:bottom w:val="nil"/>
          <w:right w:val="single" w:sz="8" w:space="0" w:color="4F81BD" w:themeColor="accent1"/>
          <w:insideH w:val="nil"/>
          <w:insideV w:val="nil"/>
        </w:tcBorders>
        <w:shd w:val="clear" w:color="auto" w:fill="FFFFFF" w:themeFill="lt1"/>
      </w:tcPr>
    </w:tblStylePr>
    <w:tblStylePr w:type="lastCol">
      <w:tblPr/>
      <w:tcPr>
        <w:tcBorders>
          <w:top w:val="nil"/>
          <w:left w:val="single" w:sz="8" w:space="0" w:color="4F81BD" w:themeColor="accent1"/>
          <w:bottom w:val="nil"/>
          <w:right w:val="nil"/>
          <w:insideH w:val="nil"/>
          <w:insideV w:val="nil"/>
        </w:tcBorders>
        <w:shd w:val="clear" w:color="auto" w:fill="FFFFFF" w:themeFill="lt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lt1"/>
      </w:tcPr>
    </w:tblStylePr>
    <w:tblStylePr w:type="swCell">
      <w:tblPr/>
      <w:tcPr>
        <w:tcBorders>
          <w:top w:val="nil"/>
        </w:tcBorders>
      </w:tcPr>
    </w:tblStylePr>
  </w:style>
  <w:style w:type="table" w:styleId="MediumList2-Accent2">
    <w:name w:val="Medium List 2 Accent 2"/>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lt1"/>
      </w:tcPr>
    </w:tblStylePr>
    <w:tblStylePr w:type="lastRow">
      <w:tblPr/>
      <w:tcPr>
        <w:tcBorders>
          <w:top w:val="single" w:sz="8" w:space="0" w:color="C0504D" w:themeColor="accent2"/>
          <w:left w:val="nil"/>
          <w:bottom w:val="nil"/>
          <w:right w:val="nil"/>
          <w:insideH w:val="nil"/>
          <w:insideV w:val="nil"/>
        </w:tcBorders>
        <w:shd w:val="clear" w:color="auto" w:fill="FFFFFF" w:themeFill="lt1"/>
      </w:tcPr>
    </w:tblStylePr>
    <w:tblStylePr w:type="firstCol">
      <w:tblPr/>
      <w:tcPr>
        <w:tcBorders>
          <w:top w:val="nil"/>
          <w:left w:val="nil"/>
          <w:bottom w:val="nil"/>
          <w:right w:val="single" w:sz="8" w:space="0" w:color="C0504D" w:themeColor="accent2"/>
          <w:insideH w:val="nil"/>
          <w:insideV w:val="nil"/>
        </w:tcBorders>
        <w:shd w:val="clear" w:color="auto" w:fill="FFFFFF" w:themeFill="lt1"/>
      </w:tcPr>
    </w:tblStylePr>
    <w:tblStylePr w:type="lastCol">
      <w:tblPr/>
      <w:tcPr>
        <w:tcBorders>
          <w:top w:val="nil"/>
          <w:left w:val="single" w:sz="8" w:space="0" w:color="C0504D" w:themeColor="accent2"/>
          <w:bottom w:val="nil"/>
          <w:right w:val="nil"/>
          <w:insideH w:val="nil"/>
          <w:insideV w:val="nil"/>
        </w:tcBorders>
        <w:shd w:val="clear" w:color="auto" w:fill="FFFFFF" w:themeFill="lt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lt1"/>
      </w:tcPr>
    </w:tblStylePr>
    <w:tblStylePr w:type="swCell">
      <w:tblPr/>
      <w:tcPr>
        <w:tcBorders>
          <w:top w:val="nil"/>
        </w:tcBorders>
      </w:tcPr>
    </w:tblStylePr>
  </w:style>
  <w:style w:type="table" w:styleId="MediumList2-Accent3">
    <w:name w:val="Medium List 2 Accent 3"/>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lt1"/>
      </w:tcPr>
    </w:tblStylePr>
    <w:tblStylePr w:type="lastRow">
      <w:tblPr/>
      <w:tcPr>
        <w:tcBorders>
          <w:top w:val="single" w:sz="8" w:space="0" w:color="9BBB59" w:themeColor="accent3"/>
          <w:left w:val="nil"/>
          <w:bottom w:val="nil"/>
          <w:right w:val="nil"/>
          <w:insideH w:val="nil"/>
          <w:insideV w:val="nil"/>
        </w:tcBorders>
        <w:shd w:val="clear" w:color="auto" w:fill="FFFFFF" w:themeFill="lt1"/>
      </w:tcPr>
    </w:tblStylePr>
    <w:tblStylePr w:type="firstCol">
      <w:tblPr/>
      <w:tcPr>
        <w:tcBorders>
          <w:top w:val="nil"/>
          <w:left w:val="nil"/>
          <w:bottom w:val="nil"/>
          <w:right w:val="single" w:sz="8" w:space="0" w:color="9BBB59" w:themeColor="accent3"/>
          <w:insideH w:val="nil"/>
          <w:insideV w:val="nil"/>
        </w:tcBorders>
        <w:shd w:val="clear" w:color="auto" w:fill="FFFFFF" w:themeFill="lt1"/>
      </w:tcPr>
    </w:tblStylePr>
    <w:tblStylePr w:type="lastCol">
      <w:tblPr/>
      <w:tcPr>
        <w:tcBorders>
          <w:top w:val="nil"/>
          <w:left w:val="single" w:sz="8" w:space="0" w:color="9BBB59" w:themeColor="accent3"/>
          <w:bottom w:val="nil"/>
          <w:right w:val="nil"/>
          <w:insideH w:val="nil"/>
          <w:insideV w:val="nil"/>
        </w:tcBorders>
        <w:shd w:val="clear" w:color="auto" w:fill="FFFFFF" w:themeFill="lt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lt1"/>
      </w:tcPr>
    </w:tblStylePr>
    <w:tblStylePr w:type="swCell">
      <w:tblPr/>
      <w:tcPr>
        <w:tcBorders>
          <w:top w:val="nil"/>
        </w:tcBorders>
      </w:tcPr>
    </w:tblStylePr>
  </w:style>
  <w:style w:type="table" w:styleId="MediumList2-Accent4">
    <w:name w:val="Medium List 2 Accent 4"/>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lt1"/>
      </w:tcPr>
    </w:tblStylePr>
    <w:tblStylePr w:type="lastRow">
      <w:tblPr/>
      <w:tcPr>
        <w:tcBorders>
          <w:top w:val="single" w:sz="8" w:space="0" w:color="8064A2" w:themeColor="accent4"/>
          <w:left w:val="nil"/>
          <w:bottom w:val="nil"/>
          <w:right w:val="nil"/>
          <w:insideH w:val="nil"/>
          <w:insideV w:val="nil"/>
        </w:tcBorders>
        <w:shd w:val="clear" w:color="auto" w:fill="FFFFFF" w:themeFill="lt1"/>
      </w:tcPr>
    </w:tblStylePr>
    <w:tblStylePr w:type="firstCol">
      <w:tblPr/>
      <w:tcPr>
        <w:tcBorders>
          <w:top w:val="nil"/>
          <w:left w:val="nil"/>
          <w:bottom w:val="nil"/>
          <w:right w:val="single" w:sz="8" w:space="0" w:color="8064A2" w:themeColor="accent4"/>
          <w:insideH w:val="nil"/>
          <w:insideV w:val="nil"/>
        </w:tcBorders>
        <w:shd w:val="clear" w:color="auto" w:fill="FFFFFF" w:themeFill="lt1"/>
      </w:tcPr>
    </w:tblStylePr>
    <w:tblStylePr w:type="lastCol">
      <w:tblPr/>
      <w:tcPr>
        <w:tcBorders>
          <w:top w:val="nil"/>
          <w:left w:val="single" w:sz="8" w:space="0" w:color="8064A2" w:themeColor="accent4"/>
          <w:bottom w:val="nil"/>
          <w:right w:val="nil"/>
          <w:insideH w:val="nil"/>
          <w:insideV w:val="nil"/>
        </w:tcBorders>
        <w:shd w:val="clear" w:color="auto" w:fill="FFFFFF" w:themeFill="lt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lt1"/>
      </w:tcPr>
    </w:tblStylePr>
    <w:tblStylePr w:type="swCell">
      <w:tblPr/>
      <w:tcPr>
        <w:tcBorders>
          <w:top w:val="nil"/>
        </w:tcBorders>
      </w:tcPr>
    </w:tblStylePr>
  </w:style>
  <w:style w:type="table" w:styleId="MediumList2-Accent5">
    <w:name w:val="Medium List 2 Accent 5"/>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lt1"/>
      </w:tcPr>
    </w:tblStylePr>
    <w:tblStylePr w:type="lastRow">
      <w:tblPr/>
      <w:tcPr>
        <w:tcBorders>
          <w:top w:val="single" w:sz="8" w:space="0" w:color="4BACC6" w:themeColor="accent5"/>
          <w:left w:val="nil"/>
          <w:bottom w:val="nil"/>
          <w:right w:val="nil"/>
          <w:insideH w:val="nil"/>
          <w:insideV w:val="nil"/>
        </w:tcBorders>
        <w:shd w:val="clear" w:color="auto" w:fill="FFFFFF" w:themeFill="lt1"/>
      </w:tcPr>
    </w:tblStylePr>
    <w:tblStylePr w:type="firstCol">
      <w:tblPr/>
      <w:tcPr>
        <w:tcBorders>
          <w:top w:val="nil"/>
          <w:left w:val="nil"/>
          <w:bottom w:val="nil"/>
          <w:right w:val="single" w:sz="8" w:space="0" w:color="4BACC6" w:themeColor="accent5"/>
          <w:insideH w:val="nil"/>
          <w:insideV w:val="nil"/>
        </w:tcBorders>
        <w:shd w:val="clear" w:color="auto" w:fill="FFFFFF" w:themeFill="lt1"/>
      </w:tcPr>
    </w:tblStylePr>
    <w:tblStylePr w:type="lastCol">
      <w:tblPr/>
      <w:tcPr>
        <w:tcBorders>
          <w:top w:val="nil"/>
          <w:left w:val="single" w:sz="8" w:space="0" w:color="4BACC6" w:themeColor="accent5"/>
          <w:bottom w:val="nil"/>
          <w:right w:val="nil"/>
          <w:insideH w:val="nil"/>
          <w:insideV w:val="nil"/>
        </w:tcBorders>
        <w:shd w:val="clear" w:color="auto" w:fill="FFFFFF" w:themeFill="lt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lt1"/>
      </w:tcPr>
    </w:tblStylePr>
    <w:tblStylePr w:type="swCell">
      <w:tblPr/>
      <w:tcPr>
        <w:tcBorders>
          <w:top w:val="nil"/>
        </w:tcBorders>
      </w:tcPr>
    </w:tblStylePr>
  </w:style>
  <w:style w:type="table" w:styleId="MediumList2-Accent6">
    <w:name w:val="Medium List 2 Accent 6"/>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lt1"/>
      </w:tcPr>
    </w:tblStylePr>
    <w:tblStylePr w:type="lastRow">
      <w:tblPr/>
      <w:tcPr>
        <w:tcBorders>
          <w:top w:val="single" w:sz="8" w:space="0" w:color="F79646" w:themeColor="accent6"/>
          <w:left w:val="nil"/>
          <w:bottom w:val="nil"/>
          <w:right w:val="nil"/>
          <w:insideH w:val="nil"/>
          <w:insideV w:val="nil"/>
        </w:tcBorders>
        <w:shd w:val="clear" w:color="auto" w:fill="FFFFFF" w:themeFill="lt1"/>
      </w:tcPr>
    </w:tblStylePr>
    <w:tblStylePr w:type="firstCol">
      <w:tblPr/>
      <w:tcPr>
        <w:tcBorders>
          <w:top w:val="nil"/>
          <w:left w:val="nil"/>
          <w:bottom w:val="nil"/>
          <w:right w:val="single" w:sz="8" w:space="0" w:color="F79646" w:themeColor="accent6"/>
          <w:insideH w:val="nil"/>
          <w:insideV w:val="nil"/>
        </w:tcBorders>
        <w:shd w:val="clear" w:color="auto" w:fill="FFFFFF" w:themeFill="lt1"/>
      </w:tcPr>
    </w:tblStylePr>
    <w:tblStylePr w:type="lastCol">
      <w:tblPr/>
      <w:tcPr>
        <w:tcBorders>
          <w:top w:val="nil"/>
          <w:left w:val="single" w:sz="8" w:space="0" w:color="F79646" w:themeColor="accent6"/>
          <w:bottom w:val="nil"/>
          <w:right w:val="nil"/>
          <w:insideH w:val="nil"/>
          <w:insideV w:val="nil"/>
        </w:tcBorders>
        <w:shd w:val="clear" w:color="auto" w:fill="FFFFFF" w:themeFill="lt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lt1"/>
      </w:tcPr>
    </w:tblStylePr>
    <w:tblStylePr w:type="swCell">
      <w:tblPr/>
      <w:tcPr>
        <w:tcBorders>
          <w:top w:val="nil"/>
        </w:tcBorders>
      </w:tcPr>
    </w:tblStylePr>
  </w:style>
  <w:style w:type="table" w:styleId="MediumGrid1">
    <w:name w:val="Medium Grid 1"/>
    <w:uiPriority w:val="67"/>
    <w:basedOn w:val="TableNormal"/>
    <w:pPr>
      <w:spacing w:after="0" w:line="240" w:lineRule="auto"/>
    </w:pPr>
    <w:tblPr>
      <w:tblInd w:w="0" w:type="dxa"/>
      <w:tblBorders>
        <w:top w:val="single" w:sz="8" w:space="0" w:color="3F3F3F" w:themeColor="dk1" w:themeTint="bf"/>
        <w:left w:val="single" w:sz="8" w:space="0" w:color="3F3F3F" w:themeColor="dk1" w:themeTint="bf"/>
        <w:bottom w:val="single" w:sz="8" w:space="0" w:color="3F3F3F" w:themeColor="dk1" w:themeTint="bf"/>
        <w:right w:val="single" w:sz="8" w:space="0" w:color="3F3F3F" w:themeColor="dk1" w:themeTint="bf"/>
        <w:insideH w:val="single" w:sz="8" w:space="0" w:color="3F3F3F" w:themeColor="dk1" w:themeTint="bf"/>
        <w:insideV w:val="single" w:sz="8" w:space="0" w:color="3F3F3F" w:themeColor="dk1" w:themeTint="bf"/>
      </w:tblBorders>
      <w:tblCellMar>
        <w:top w:w="0" w:type="dxa"/>
        <w:left w:w="108" w:type="dxa"/>
        <w:bottom w:w="0" w:type="dxa"/>
        <w:right w:w="108" w:type="dxa"/>
      </w:tblCellMar>
      <w:tblStyleColBandSize w:val="1"/>
      <w:tblStyleRowBandSize w:val="1"/>
    </w:tblPr>
    <w:tcPr>
      <w:shd w:val="clear" w:color="auto" w:fill="BFBFBF" w:themeFill="dk1" w:themeFillTint="3f"/>
    </w:tcPr>
    <w:tblStylePr w:type="firstRow">
      <w:rPr>
        <w:b/>
        <w:bCs/>
      </w:rPr>
    </w:tblStylePr>
    <w:tblStylePr w:type="lastRow">
      <w:rPr>
        <w:b/>
        <w:bCs/>
      </w:rPr>
      <w:tblPr/>
      <w:tcPr>
        <w:tcBorders>
          <w:top w:val="single" w:sz="18" w:space="0" w:color="3F3F3F" w:themeColor="dk1" w:themeTint="bf"/>
        </w:tcBorders>
      </w:tcPr>
    </w:tblStylePr>
    <w:tblStylePr w:type="firstCol">
      <w:rPr>
        <w:b/>
        <w:bCs/>
      </w:rPr>
    </w:tblStylePr>
    <w:tblStylePr w:type="lastCol">
      <w:rPr>
        <w:b/>
        <w:bCs/>
      </w:rPr>
    </w:tblStylePr>
    <w:tblStylePr w:type="band1Vert">
      <w:tblPr/>
      <w:tcPr>
        <w:shd w:val="clear" w:color="auto" w:fill="7F7F7F" w:themeFill="dk1" w:themeFillTint="7f"/>
      </w:tcPr>
    </w:tblStylePr>
    <w:tblStylePr w:type="band1Horz">
      <w:tblPr/>
      <w:tcPr>
        <w:shd w:val="clear" w:color="auto" w:fill="7F7F7F" w:themeFill="dk1" w:themeFillTint="7f"/>
      </w:tcPr>
    </w:tblStylePr>
  </w:style>
  <w:style w:type="table" w:styleId="MediumGrid1-Accent1">
    <w:name w:val="Medium Grid 1 Accent 1"/>
    <w:uiPriority w:val="67"/>
    <w:basedOn w:val="TableNormal"/>
    <w:pPr>
      <w:spacing w:after="0" w:line="240" w:lineRule="auto"/>
    </w:pPr>
    <w:tblPr>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StyleColBandSize w:val="1"/>
      <w:tblStyleRowBandSize w:val="1"/>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MediumGrid1-Accent2">
    <w:name w:val="Medium Grid 1 Accent 2"/>
    <w:uiPriority w:val="67"/>
    <w:basedOn w:val="TableNormal"/>
    <w:pPr>
      <w:spacing w:after="0" w:line="240" w:lineRule="auto"/>
    </w:pPr>
    <w:tblPr>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StyleColBandSize w:val="1"/>
      <w:tblStyleRowBandSize w:val="1"/>
    </w:tblPr>
    <w:tcPr>
      <w:shd w:val="clear" w:color="auto" w:fill="EFD3D3"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uiPriority w:val="67"/>
    <w:basedOn w:val="TableNormal"/>
    <w:pPr>
      <w:spacing w:after="0" w:line="240" w:lineRule="auto"/>
    </w:pPr>
    <w:tblPr>
      <w:tblInd w:w="0" w:type="dxa"/>
      <w:tblBorders>
        <w:top w:val="single" w:sz="8" w:space="0" w:color="B4CC82" w:themeColor="accent3" w:themeTint="bf"/>
        <w:left w:val="single" w:sz="8" w:space="0" w:color="B4CC82" w:themeColor="accent3" w:themeTint="bf"/>
        <w:bottom w:val="single" w:sz="8" w:space="0" w:color="B4CC82" w:themeColor="accent3" w:themeTint="bf"/>
        <w:right w:val="single" w:sz="8" w:space="0" w:color="B4CC82" w:themeColor="accent3" w:themeTint="bf"/>
        <w:insideH w:val="single" w:sz="8" w:space="0" w:color="B4CC82" w:themeColor="accent3" w:themeTint="bf"/>
        <w:insideV w:val="single" w:sz="8" w:space="0" w:color="B4CC82" w:themeColor="accent3" w:themeTint="bf"/>
      </w:tblBorders>
      <w:tblCellMar>
        <w:top w:w="0" w:type="dxa"/>
        <w:left w:w="108" w:type="dxa"/>
        <w:bottom w:w="0" w:type="dxa"/>
        <w:right w:w="108" w:type="dxa"/>
      </w:tblCellMar>
      <w:tblStyleColBandSize w:val="1"/>
      <w:tblStyleRowBandSize w:val="1"/>
    </w:tblPr>
    <w:tcPr>
      <w:shd w:val="clear" w:color="auto" w:fill="E6EED5" w:themeFill="accent3" w:themeFillTint="3f"/>
    </w:tcPr>
    <w:tblStylePr w:type="firstRow">
      <w:rPr>
        <w:b/>
        <w:bCs/>
      </w:rPr>
    </w:tblStylePr>
    <w:tblStylePr w:type="lastRow">
      <w:rPr>
        <w:b/>
        <w:bCs/>
      </w:rPr>
      <w:tblPr/>
      <w:tcPr>
        <w:tcBorders>
          <w:top w:val="single" w:sz="18" w:space="0" w:color="B4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uiPriority w:val="67"/>
    <w:basedOn w:val="TableNormal"/>
    <w:pPr>
      <w:spacing w:after="0" w:line="240" w:lineRule="auto"/>
    </w:pPr>
    <w:tblPr>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StyleColBandSize w:val="1"/>
      <w:tblStyleRowBandSize w:val="1"/>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uiPriority w:val="67"/>
    <w:basedOn w:val="TableNormal"/>
    <w:pPr>
      <w:spacing w:after="0" w:line="240" w:lineRule="auto"/>
    </w:pPr>
    <w:tblPr>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StyleColBandSize w:val="1"/>
      <w:tblStyleRowBandSize w:val="1"/>
    </w:tblPr>
    <w:tcPr>
      <w:shd w:val="clear" w:color="auto" w:fill="D2EAF0"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uiPriority w:val="67"/>
    <w:basedOn w:val="TableNormal"/>
    <w:pPr>
      <w:spacing w:after="0" w:line="240" w:lineRule="auto"/>
    </w:pPr>
    <w:tblPr>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StyleColBandSize w:val="1"/>
      <w:tblStyleRowBandSize w:val="1"/>
    </w:tblPr>
    <w:tcPr>
      <w:shd w:val="clear" w:color="auto" w:fill="FDE5D1"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000000" w:themeColor="dk1"/>
        <w:left w:val="single" w:sz="8" w:space="0" w:color="000000" w:themeColor="dk1"/>
        <w:bottom w:val="single" w:sz="8" w:space="0" w:color="000000" w:themeColor="dk1"/>
        <w:right w:val="single" w:sz="8" w:space="0" w:color="000000" w:themeColor="dk1"/>
        <w:insideH w:val="single" w:sz="8" w:space="0" w:color="000000" w:themeColor="dk1"/>
        <w:insideV w:val="single" w:sz="8" w:space="0" w:color="000000" w:themeColor="dk1"/>
      </w:tblBorders>
      <w:tblCellMar>
        <w:top w:w="0" w:type="dxa"/>
        <w:left w:w="108" w:type="dxa"/>
        <w:bottom w:w="0" w:type="dxa"/>
        <w:right w:w="108" w:type="dxa"/>
      </w:tblCellMar>
      <w:tblStyleColBandSize w:val="1"/>
      <w:tblStyleRowBandSize w:val="1"/>
    </w:tblPr>
    <w:tcPr>
      <w:shd w:val="clear" w:color="auto" w:fill="BFBFBF" w:themeFill="dk1" w:themeFillTint="3f"/>
    </w:tcPr>
    <w:tblStylePr w:type="firstRow">
      <w:rPr>
        <w:b/>
        <w:bCs/>
        <w:color w:val="000000"/>
      </w:rPr>
      <w:tblPr/>
      <w:tcPr>
        <w:shd w:val="clear" w:color="auto" w:fill="E5E5E5" w:themeFill="dk1" w:themeFillTint="19"/>
      </w:tcPr>
    </w:tblStylePr>
    <w:tblStylePr w:type="lastRow">
      <w:rPr>
        <w:b/>
        <w:bCs/>
        <w:color w:val="000000"/>
      </w:rPr>
      <w:tblPr/>
      <w:tcPr>
        <w:tcBorders>
          <w:top w:val="single" w:sz="12" w:space="0" w:color="000000" w:themeColor="dk1"/>
          <w:left w:val="nil"/>
          <w:bottom w:val="nil"/>
          <w:right w:val="nil"/>
          <w:insideH w:val="nil"/>
          <w:insideV w:val="nil"/>
        </w:tcBorders>
        <w:shd w:val="clear" w:color="auto" w:fill="FFFFFF" w:themeFill="lt1"/>
      </w:tcPr>
    </w:tblStylePr>
    <w:tblStylePr w:type="firstCol">
      <w:rPr>
        <w:b/>
        <w:bCs/>
        <w:color w:val="000000"/>
      </w:rPr>
      <w:tblPr/>
      <w:tcPr>
        <w:tcBorders>
          <w:top w:val="nil"/>
          <w:left w:val="nil"/>
          <w:bottom w:val="nil"/>
          <w:right w:val="nil"/>
          <w:insideH w:val="nil"/>
          <w:insideV w:val="nil"/>
        </w:tcBorders>
        <w:shd w:val="clear" w:color="auto" w:fill="FFFFFF" w:themeFill="lt1"/>
      </w:tcPr>
    </w:tblStylePr>
    <w:tblStylePr w:type="lastCol">
      <w:rPr>
        <w:b w:val="0"/>
        <w:bCs w:val="0"/>
        <w:color w:val="000000"/>
      </w:rPr>
      <w:tblPr/>
      <w:tcPr>
        <w:tcBorders>
          <w:top w:val="nil"/>
          <w:left w:val="nil"/>
          <w:bottom w:val="nil"/>
          <w:right w:val="nil"/>
          <w:insideH w:val="nil"/>
          <w:insideV w:val="nil"/>
        </w:tcBorders>
        <w:shd w:val="clear" w:color="auto" w:fill="CBCBCB" w:themeFill="dk1" w:themeFillTint="33"/>
      </w:tcPr>
    </w:tblStylePr>
    <w:tblStylePr w:type="band1Vert">
      <w:tblPr/>
      <w:tcPr>
        <w:shd w:val="clear" w:color="auto" w:fill="7F7F7F" w:themeFill="dk1" w:themeFillTint="7f"/>
      </w:tcPr>
    </w:tblStylePr>
    <w:tblStylePr w:type="band1Horz">
      <w:tblPr/>
      <w:tcPr>
        <w:tcBorders>
          <w:insideH w:val="single" w:sz="6" w:space="0" w:color="000000" w:themeColor="dk1"/>
          <w:insideV w:val="single" w:sz="6" w:space="0" w:color="000000" w:themeColor="dk1"/>
        </w:tcBorders>
        <w:shd w:val="clear" w:color="auto" w:fill="7F7F7F" w:themeFill="dk1" w:themeFillTint="7f"/>
      </w:tcPr>
    </w:tblStylePr>
    <w:tblStylePr w:type="nwCell">
      <w:tblPr/>
      <w:tcPr>
        <w:shd w:val="clear" w:color="auto" w:fill="FFFFFF" w:themeFill="lt1"/>
      </w:tcPr>
    </w:tblStylePr>
  </w:style>
  <w:style w:type="table" w:styleId="MediumGrid2-Accent1">
    <w:name w:val="Medium Grid 2 Accent 1"/>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StyleColBandSize w:val="1"/>
      <w:tblStyleRowBandSize w:val="1"/>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dk1"/>
          <w:left w:val="nil"/>
          <w:bottom w:val="nil"/>
          <w:right w:val="nil"/>
          <w:insideH w:val="nil"/>
          <w:insideV w:val="nil"/>
        </w:tcBorders>
        <w:shd w:val="clear" w:color="auto" w:fill="FFFFFF" w:themeFill="lt1"/>
      </w:tcPr>
    </w:tblStylePr>
    <w:tblStylePr w:type="firstCol">
      <w:rPr>
        <w:b/>
        <w:bCs/>
        <w:color w:val="000000"/>
      </w:rPr>
      <w:tblPr/>
      <w:tcPr>
        <w:tcBorders>
          <w:top w:val="nil"/>
          <w:left w:val="nil"/>
          <w:bottom w:val="nil"/>
          <w:right w:val="nil"/>
          <w:insideH w:val="nil"/>
          <w:insideV w:val="nil"/>
        </w:tcBorders>
        <w:shd w:val="clear" w:color="auto" w:fill="FFFFFF" w:themeFill="lt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C0DE" w:themeFill="accent1" w:themeFillTint="7f"/>
      </w:tcPr>
    </w:tblStylePr>
    <w:tblStylePr w:type="nwCell">
      <w:tblPr/>
      <w:tcPr>
        <w:shd w:val="clear" w:color="auto" w:fill="FFFFFF" w:themeFill="lt1"/>
      </w:tcPr>
    </w:tblStylePr>
  </w:style>
  <w:style w:type="table" w:styleId="MediumGrid2-Accent2">
    <w:name w:val="Medium Grid 2 Accent 2"/>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StyleColBandSize w:val="1"/>
      <w:tblStyleRowBandSize w:val="1"/>
    </w:tblPr>
    <w:tcPr>
      <w:shd w:val="clear" w:color="auto" w:fill="EFD3D3"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dk1"/>
          <w:left w:val="nil"/>
          <w:bottom w:val="nil"/>
          <w:right w:val="nil"/>
          <w:insideH w:val="nil"/>
          <w:insideV w:val="nil"/>
        </w:tcBorders>
        <w:shd w:val="clear" w:color="auto" w:fill="FFFFFF" w:themeFill="lt1"/>
      </w:tcPr>
    </w:tblStylePr>
    <w:tblStylePr w:type="firstCol">
      <w:rPr>
        <w:b/>
        <w:bCs/>
        <w:color w:val="000000"/>
      </w:rPr>
      <w:tblPr/>
      <w:tcPr>
        <w:tcBorders>
          <w:top w:val="nil"/>
          <w:left w:val="nil"/>
          <w:bottom w:val="nil"/>
          <w:right w:val="nil"/>
          <w:insideH w:val="nil"/>
          <w:insideV w:val="nil"/>
        </w:tcBorders>
        <w:shd w:val="clear" w:color="auto" w:fill="FFFFFF" w:themeFill="lt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lt1"/>
      </w:tcPr>
    </w:tblStylePr>
  </w:style>
  <w:style w:type="table" w:styleId="MediumGrid2-Accent3">
    <w:name w:val="Medium Grid 2 Accent 3"/>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StyleColBandSize w:val="1"/>
      <w:tblStyleRowBandSize w:val="1"/>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dk1"/>
          <w:left w:val="nil"/>
          <w:bottom w:val="nil"/>
          <w:right w:val="nil"/>
          <w:insideH w:val="nil"/>
          <w:insideV w:val="nil"/>
        </w:tcBorders>
        <w:shd w:val="clear" w:color="auto" w:fill="FFFFFF" w:themeFill="lt1"/>
      </w:tcPr>
    </w:tblStylePr>
    <w:tblStylePr w:type="firstCol">
      <w:rPr>
        <w:b/>
        <w:bCs/>
        <w:color w:val="000000"/>
      </w:rPr>
      <w:tblPr/>
      <w:tcPr>
        <w:tcBorders>
          <w:top w:val="nil"/>
          <w:left w:val="nil"/>
          <w:bottom w:val="nil"/>
          <w:right w:val="nil"/>
          <w:insideH w:val="nil"/>
          <w:insideV w:val="nil"/>
        </w:tcBorders>
        <w:shd w:val="clear" w:color="auto" w:fill="FFFFFF" w:themeFill="lt1"/>
      </w:tcPr>
    </w:tblStylePr>
    <w:tblStylePr w:type="lastCol">
      <w:rPr>
        <w:b w:val="0"/>
        <w:bCs w:val="0"/>
        <w:color w:val="000000"/>
      </w:rPr>
      <w:tblPr/>
      <w:tcPr>
        <w:tcBorders>
          <w:top w:val="nil"/>
          <w:left w:val="nil"/>
          <w:bottom w:val="nil"/>
          <w:right w:val="nil"/>
          <w:insideH w:val="nil"/>
          <w:insideV w:val="nil"/>
        </w:tcBorders>
        <w:shd w:val="clear" w:color="auto" w:fill="EB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lt1"/>
      </w:tcPr>
    </w:tblStylePr>
  </w:style>
  <w:style w:type="table" w:styleId="MediumGrid2-Accent4">
    <w:name w:val="Medium Grid 2 Accent 4"/>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StyleColBandSize w:val="1"/>
      <w:tblStyleRowBandSize w:val="1"/>
    </w:tblPr>
    <w:tcPr>
      <w:shd w:val="clear" w:color="auto" w:fill="DFD8E8" w:themeFill="accent4" w:themeFillTint="3f"/>
    </w:tcPr>
    <w:tblStylePr w:type="firstRow">
      <w:rPr>
        <w:b/>
        <w:bCs/>
        <w:color w:val="000000"/>
      </w:rPr>
      <w:tblPr/>
      <w:tcPr>
        <w:shd w:val="clear" w:color="auto" w:fill="F2EFF5" w:themeFill="accent4" w:themeFillTint="19"/>
      </w:tcPr>
    </w:tblStylePr>
    <w:tblStylePr w:type="lastRow">
      <w:rPr>
        <w:b/>
        <w:bCs/>
        <w:color w:val="000000"/>
      </w:rPr>
      <w:tblPr/>
      <w:tcPr>
        <w:tcBorders>
          <w:top w:val="single" w:sz="12" w:space="0" w:color="000000" w:themeColor="dk1"/>
          <w:left w:val="nil"/>
          <w:bottom w:val="nil"/>
          <w:right w:val="nil"/>
          <w:insideH w:val="nil"/>
          <w:insideV w:val="nil"/>
        </w:tcBorders>
        <w:shd w:val="clear" w:color="auto" w:fill="FFFFFF" w:themeFill="lt1"/>
      </w:tcPr>
    </w:tblStylePr>
    <w:tblStylePr w:type="firstCol">
      <w:rPr>
        <w:b/>
        <w:bCs/>
        <w:color w:val="000000"/>
      </w:rPr>
      <w:tblPr/>
      <w:tcPr>
        <w:tcBorders>
          <w:top w:val="nil"/>
          <w:left w:val="nil"/>
          <w:bottom w:val="nil"/>
          <w:right w:val="nil"/>
          <w:insideH w:val="nil"/>
          <w:insideV w:val="nil"/>
        </w:tcBorders>
        <w:shd w:val="clear" w:color="auto" w:fill="FFFFFF" w:themeFill="lt1"/>
      </w:tcPr>
    </w:tblStylePr>
    <w:tblStylePr w:type="lastCol">
      <w:rPr>
        <w:b w:val="0"/>
        <w:bCs w:val="0"/>
        <w:color w:val="000000"/>
      </w:rPr>
      <w:tblPr/>
      <w:tcPr>
        <w:tcBorders>
          <w:top w:val="nil"/>
          <w:left w:val="nil"/>
          <w:bottom w:val="nil"/>
          <w:right w:val="nil"/>
          <w:insideH w:val="nil"/>
          <w:insideV w:val="nil"/>
        </w:tcBorders>
        <w:shd w:val="clear" w:color="auto" w:fill="E5E0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lt1"/>
      </w:tcPr>
    </w:tblStylePr>
  </w:style>
  <w:style w:type="table" w:styleId="MediumGrid2-Accent5">
    <w:name w:val="Medium Grid 2 Accent 5"/>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StyleColBandSize w:val="1"/>
      <w:tblStyleRowBandSize w:val="1"/>
    </w:tblPr>
    <w:tcPr>
      <w:shd w:val="clear" w:color="auto" w:fill="D2EAF0"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dk1"/>
          <w:left w:val="nil"/>
          <w:bottom w:val="nil"/>
          <w:right w:val="nil"/>
          <w:insideH w:val="nil"/>
          <w:insideV w:val="nil"/>
        </w:tcBorders>
        <w:shd w:val="clear" w:color="auto" w:fill="FFFFFF" w:themeFill="lt1"/>
      </w:tcPr>
    </w:tblStylePr>
    <w:tblStylePr w:type="firstCol">
      <w:rPr>
        <w:b/>
        <w:bCs/>
        <w:color w:val="000000"/>
      </w:rPr>
      <w:tblPr/>
      <w:tcPr>
        <w:tcBorders>
          <w:top w:val="nil"/>
          <w:left w:val="nil"/>
          <w:bottom w:val="nil"/>
          <w:right w:val="nil"/>
          <w:insideH w:val="nil"/>
          <w:insideV w:val="nil"/>
        </w:tcBorders>
        <w:shd w:val="clear" w:color="auto" w:fill="FFFFFF" w:themeFill="lt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lt1"/>
      </w:tcPr>
    </w:tblStylePr>
  </w:style>
  <w:style w:type="table" w:styleId="MediumGrid2-Accent6">
    <w:name w:val="Medium Grid 2 Accent 6"/>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StyleColBandSize w:val="1"/>
      <w:tblStyleRowBandSize w:val="1"/>
    </w:tblPr>
    <w:tcPr>
      <w:shd w:val="clear" w:color="auto" w:fill="FDE5D1"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dk1"/>
          <w:left w:val="nil"/>
          <w:bottom w:val="nil"/>
          <w:right w:val="nil"/>
          <w:insideH w:val="nil"/>
          <w:insideV w:val="nil"/>
        </w:tcBorders>
        <w:shd w:val="clear" w:color="auto" w:fill="FFFFFF" w:themeFill="lt1"/>
      </w:tcPr>
    </w:tblStylePr>
    <w:tblStylePr w:type="firstCol">
      <w:rPr>
        <w:b/>
        <w:bCs/>
        <w:color w:val="000000"/>
      </w:rPr>
      <w:tblPr/>
      <w:tcPr>
        <w:tcBorders>
          <w:top w:val="nil"/>
          <w:left w:val="nil"/>
          <w:bottom w:val="nil"/>
          <w:right w:val="nil"/>
          <w:insideH w:val="nil"/>
          <w:insideV w:val="nil"/>
        </w:tcBorders>
        <w:shd w:val="clear" w:color="auto" w:fill="FFFFFF" w:themeFill="lt1"/>
      </w:tcPr>
    </w:tblStylePr>
    <w:tblStylePr w:type="lastCol">
      <w:rPr>
        <w:b w:val="0"/>
        <w:bCs w:val="0"/>
        <w:color w:val="000000"/>
      </w:rPr>
      <w:tblPr/>
      <w:tcPr>
        <w:tcBorders>
          <w:top w:val="nil"/>
          <w:left w:val="nil"/>
          <w:bottom w:val="nil"/>
          <w:right w:val="nil"/>
          <w:insideH w:val="nil"/>
          <w:insideV w:val="nil"/>
        </w:tcBorders>
        <w:shd w:val="clear" w:color="auto" w:fill="FDEA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lt1"/>
      </w:tcPr>
    </w:tblStylePr>
  </w:style>
  <w:style w:type="table" w:styleId="MediumGrid3">
    <w:name w:val="Medium Grid 3"/>
    <w:uiPriority w:val="69"/>
    <w:basedOn w:val="TableNormal"/>
    <w:pPr>
      <w:spacing w:after="0" w:line="240" w:lineRule="auto"/>
    </w:pPr>
    <w:tblPr>
      <w:tblInd w:w="0" w:type="dxa"/>
      <w:tblBorders>
        <w:top w:val="single" w:sz="8" w:space="0" w:color="FFFFFF" w:themeColor="lt1"/>
        <w:left w:val="single" w:sz="8" w:space="0" w:color="FFFFFF" w:themeColor="lt1"/>
        <w:bottom w:val="single" w:sz="8" w:space="0" w:color="FFFFFF" w:themeColor="lt1"/>
        <w:right w:val="single" w:sz="8" w:space="0" w:color="FFFFFF" w:themeColor="lt1"/>
        <w:insideH w:val="single" w:sz="6" w:space="0" w:color="FFFFFF" w:themeColor="lt1"/>
        <w:insideV w:val="single" w:sz="6" w:space="0" w:color="FFFFFF" w:themeColor="lt1"/>
      </w:tblBorders>
      <w:tblCellMar>
        <w:top w:w="0" w:type="dxa"/>
        <w:left w:w="108" w:type="dxa"/>
        <w:bottom w:w="0" w:type="dxa"/>
        <w:right w:w="108" w:type="dxa"/>
      </w:tblCellMar>
      <w:tblStyleColBandSize w:val="1"/>
      <w:tblStyleRowBandSize w:val="1"/>
    </w:tblPr>
    <w:tcPr>
      <w:shd w:val="clear" w:color="auto" w:fill="BFBFBF" w:themeFill="dk1" w:themeFillTint="3f"/>
    </w:tcPr>
    <w:tblStylePr w:type="firstRow">
      <w:rPr>
        <w:b/>
        <w:bCs/>
        <w:i w:val="0"/>
        <w:iCs w:val="0"/>
        <w:color w:val="FFFFFF"/>
      </w:rPr>
      <w:tblPr/>
      <w:tcPr>
        <w:tcBorders>
          <w:top w:val="single" w:sz="8" w:space="0" w:color="FFFFFF" w:themeColor="lt1"/>
          <w:left w:val="single" w:sz="8" w:space="0" w:color="FFFFFF" w:themeColor="lt1"/>
          <w:bottom w:val="single" w:sz="24" w:space="0" w:color="FFFFFF" w:themeColor="lt1"/>
          <w:right w:val="single" w:sz="8" w:space="0" w:color="FFFFFF" w:themeColor="lt1"/>
          <w:insideH w:val="nil"/>
          <w:insideV w:val="single" w:sz="8" w:space="0" w:color="FFFFFF" w:themeColor="lt1"/>
        </w:tcBorders>
        <w:shd w:val="clear" w:color="auto" w:fill="000000" w:themeFill="dk1"/>
      </w:tcPr>
    </w:tblStylePr>
    <w:tblStylePr w:type="lastRow">
      <w:rPr>
        <w:b/>
        <w:bCs/>
        <w:i w:val="0"/>
        <w:iCs w:val="0"/>
        <w:color w:val="FFFFFF"/>
      </w:rPr>
      <w:tblPr/>
      <w:tcPr>
        <w:tcBorders>
          <w:top w:val="single" w:sz="24" w:space="0" w:color="FFFFFF" w:themeColor="lt1"/>
          <w:left w:val="single" w:sz="8" w:space="0" w:color="FFFFFF" w:themeColor="lt1"/>
          <w:bottom w:val="single" w:sz="8" w:space="0" w:color="FFFFFF" w:themeColor="lt1"/>
          <w:right w:val="single" w:sz="8" w:space="0" w:color="FFFFFF" w:themeColor="lt1"/>
          <w:insideH w:val="nil"/>
          <w:insideV w:val="single" w:sz="8" w:space="0" w:color="FFFFFF" w:themeColor="lt1"/>
        </w:tcBorders>
        <w:shd w:val="clear" w:color="auto" w:fill="000000" w:themeFill="dk1"/>
      </w:tcPr>
    </w:tblStylePr>
    <w:tblStylePr w:type="firstCol">
      <w:rPr>
        <w:b/>
        <w:bCs/>
        <w:i w:val="0"/>
        <w:iCs w:val="0"/>
        <w:color w:val="FFFFFF"/>
      </w:rPr>
      <w:tblPr/>
      <w:tcPr>
        <w:tcBorders>
          <w:left w:val="single" w:sz="8" w:space="0" w:color="FFFFFF" w:themeColor="lt1"/>
          <w:right w:val="single" w:sz="24" w:space="0" w:color="FFFFFF" w:themeColor="lt1"/>
          <w:insideH w:val="nil"/>
          <w:insideV w:val="nil"/>
        </w:tcBorders>
        <w:shd w:val="clear" w:color="auto" w:fill="000000" w:themeFill="dk1"/>
      </w:tcPr>
    </w:tblStylePr>
    <w:tblStylePr w:type="lastCol">
      <w:rPr>
        <w:b/>
        <w:bCs/>
        <w:i w:val="0"/>
        <w:iCs w:val="0"/>
        <w:color w:val="FFFFFF"/>
      </w:rPr>
      <w:tblPr/>
      <w:tcPr>
        <w:tcBorders>
          <w:top w:val="nil"/>
          <w:left w:val="single" w:sz="24" w:space="0" w:color="FFFFFF" w:themeColor="lt1"/>
          <w:bottom w:val="nil"/>
          <w:right w:val="nil"/>
          <w:insideH w:val="nil"/>
          <w:insideV w:val="nil"/>
        </w:tcBorders>
        <w:shd w:val="clear" w:color="auto" w:fill="000000" w:themeFill="dk1"/>
      </w:tcPr>
    </w:tblStylePr>
    <w:tblStylePr w:type="band1Vert">
      <w:tblPr/>
      <w:tcPr>
        <w:tcBorders>
          <w:top w:val="single" w:sz="8" w:space="0" w:color="FFFFFF" w:themeColor="lt1"/>
          <w:left w:val="single" w:sz="8" w:space="0" w:color="FFFFFF" w:themeColor="lt1"/>
          <w:bottom w:val="single" w:sz="8" w:space="0" w:color="FFFFFF" w:themeColor="lt1"/>
          <w:right w:val="single" w:sz="8" w:space="0" w:color="FFFFFF" w:themeColor="lt1"/>
          <w:insideH w:val="nil"/>
          <w:insideV w:val="nil"/>
        </w:tcBorders>
        <w:shd w:val="clear" w:color="auto" w:fill="7F7F7F" w:themeFill="dk1" w:themeFillTint="7f"/>
      </w:tcPr>
    </w:tblStylePr>
    <w:tblStylePr w:type="band1Horz">
      <w:tblPr/>
      <w:tcPr>
        <w:tcBorders>
          <w:top w:val="single" w:sz="8" w:space="0" w:color="FFFFFF" w:themeColor="lt1"/>
          <w:left w:val="single" w:sz="8" w:space="0" w:color="FFFFFF" w:themeColor="lt1"/>
          <w:bottom w:val="single" w:sz="8" w:space="0" w:color="FFFFFF" w:themeColor="lt1"/>
          <w:right w:val="single" w:sz="8" w:space="0" w:color="FFFFFF" w:themeColor="lt1"/>
          <w:insideH w:val="single" w:sz="8" w:space="0" w:color="FFFFFF" w:themeColor="lt1"/>
          <w:insideV w:val="single" w:sz="8" w:space="0" w:color="FFFFFF" w:themeColor="lt1"/>
        </w:tcBorders>
        <w:shd w:val="clear" w:color="auto" w:fill="7F7F7F" w:themeFill="dk1" w:themeFillTint="7f"/>
      </w:tcPr>
    </w:tblStylePr>
  </w:style>
  <w:style w:type="table" w:styleId="MediumGrid3-Accent1">
    <w:name w:val="Medium Grid 3 Accent 1"/>
    <w:uiPriority w:val="69"/>
    <w:basedOn w:val="TableNormal"/>
    <w:pPr>
      <w:spacing w:after="0" w:line="240" w:lineRule="auto"/>
    </w:pPr>
    <w:tblPr>
      <w:tblInd w:w="0" w:type="dxa"/>
      <w:tblBorders>
        <w:top w:val="single" w:sz="8" w:space="0" w:color="FFFFFF" w:themeColor="lt1"/>
        <w:left w:val="single" w:sz="8" w:space="0" w:color="FFFFFF" w:themeColor="lt1"/>
        <w:bottom w:val="single" w:sz="8" w:space="0" w:color="FFFFFF" w:themeColor="lt1"/>
        <w:right w:val="single" w:sz="8" w:space="0" w:color="FFFFFF" w:themeColor="lt1"/>
        <w:insideH w:val="single" w:sz="6" w:space="0" w:color="FFFFFF" w:themeColor="lt1"/>
        <w:insideV w:val="single" w:sz="6" w:space="0" w:color="FFFFFF" w:themeColor="lt1"/>
      </w:tblBorders>
      <w:tblCellMar>
        <w:top w:w="0" w:type="dxa"/>
        <w:left w:w="108" w:type="dxa"/>
        <w:bottom w:w="0" w:type="dxa"/>
        <w:right w:w="108" w:type="dxa"/>
      </w:tblCellMar>
      <w:tblStyleColBandSize w:val="1"/>
      <w:tblStyleRowBandSize w:val="1"/>
    </w:tblPr>
    <w:tcPr>
      <w:shd w:val="clear" w:color="auto" w:fill="D3DFEE" w:themeFill="accent1" w:themeFillTint="3f"/>
    </w:tcPr>
    <w:tblStylePr w:type="firstRow">
      <w:rPr>
        <w:b/>
        <w:bCs/>
        <w:i w:val="0"/>
        <w:iCs w:val="0"/>
        <w:color w:val="FFFFFF"/>
      </w:rPr>
      <w:tblPr/>
      <w:tcPr>
        <w:tcBorders>
          <w:top w:val="single" w:sz="8" w:space="0" w:color="FFFFFF" w:themeColor="lt1"/>
          <w:left w:val="single" w:sz="8" w:space="0" w:color="FFFFFF" w:themeColor="lt1"/>
          <w:bottom w:val="single" w:sz="24" w:space="0" w:color="FFFFFF" w:themeColor="lt1"/>
          <w:right w:val="single" w:sz="8" w:space="0" w:color="FFFFFF" w:themeColor="lt1"/>
          <w:insideH w:val="nil"/>
          <w:insideV w:val="single" w:sz="8" w:space="0" w:color="FFFFFF" w:themeColor="lt1"/>
        </w:tcBorders>
        <w:shd w:val="clear" w:color="auto" w:fill="4F81BD" w:themeFill="accent1"/>
      </w:tcPr>
    </w:tblStylePr>
    <w:tblStylePr w:type="lastRow">
      <w:rPr>
        <w:b/>
        <w:bCs/>
        <w:i w:val="0"/>
        <w:iCs w:val="0"/>
        <w:color w:val="FFFFFF"/>
      </w:rPr>
      <w:tblPr/>
      <w:tcPr>
        <w:tcBorders>
          <w:top w:val="single" w:sz="24" w:space="0" w:color="FFFFFF" w:themeColor="lt1"/>
          <w:left w:val="single" w:sz="8" w:space="0" w:color="FFFFFF" w:themeColor="lt1"/>
          <w:bottom w:val="single" w:sz="8" w:space="0" w:color="FFFFFF" w:themeColor="lt1"/>
          <w:right w:val="single" w:sz="8" w:space="0" w:color="FFFFFF" w:themeColor="lt1"/>
          <w:insideH w:val="nil"/>
          <w:insideV w:val="single" w:sz="8" w:space="0" w:color="FFFFFF" w:themeColor="lt1"/>
        </w:tcBorders>
        <w:shd w:val="clear" w:color="auto" w:fill="4F81BD" w:themeFill="accent1"/>
      </w:tcPr>
    </w:tblStylePr>
    <w:tblStylePr w:type="firstCol">
      <w:rPr>
        <w:b/>
        <w:bCs/>
        <w:i w:val="0"/>
        <w:iCs w:val="0"/>
        <w:color w:val="FFFFFF"/>
      </w:rPr>
      <w:tblPr/>
      <w:tcPr>
        <w:tcBorders>
          <w:left w:val="single" w:sz="8" w:space="0" w:color="FFFFFF" w:themeColor="lt1"/>
          <w:right w:val="single" w:sz="24" w:space="0" w:color="FFFFFF" w:themeColor="lt1"/>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themeColor="lt1"/>
          <w:bottom w:val="nil"/>
          <w:right w:val="nil"/>
          <w:insideH w:val="nil"/>
          <w:insideV w:val="nil"/>
        </w:tcBorders>
        <w:shd w:val="clear" w:color="auto" w:fill="4F81BD" w:themeFill="accent1"/>
      </w:tcPr>
    </w:tblStylePr>
    <w:tblStylePr w:type="band1Vert">
      <w:tblPr/>
      <w:tcPr>
        <w:tcBorders>
          <w:top w:val="single" w:sz="8" w:space="0" w:color="FFFFFF" w:themeColor="lt1"/>
          <w:left w:val="single" w:sz="8" w:space="0" w:color="FFFFFF" w:themeColor="lt1"/>
          <w:bottom w:val="single" w:sz="8" w:space="0" w:color="FFFFFF" w:themeColor="lt1"/>
          <w:right w:val="single" w:sz="8" w:space="0" w:color="FFFFFF" w:themeColor="lt1"/>
          <w:insideH w:val="nil"/>
          <w:insideV w:val="nil"/>
        </w:tcBorders>
        <w:shd w:val="clear" w:color="auto" w:fill="A7C0DE" w:themeFill="accent1" w:themeFillTint="7f"/>
      </w:tcPr>
    </w:tblStylePr>
    <w:tblStylePr w:type="band1Horz">
      <w:tblPr/>
      <w:tcPr>
        <w:tcBorders>
          <w:top w:val="single" w:sz="8" w:space="0" w:color="FFFFFF" w:themeColor="lt1"/>
          <w:left w:val="single" w:sz="8" w:space="0" w:color="FFFFFF" w:themeColor="lt1"/>
          <w:bottom w:val="single" w:sz="8" w:space="0" w:color="FFFFFF" w:themeColor="lt1"/>
          <w:right w:val="single" w:sz="8" w:space="0" w:color="FFFFFF" w:themeColor="lt1"/>
          <w:insideH w:val="single" w:sz="8" w:space="0" w:color="FFFFFF" w:themeColor="lt1"/>
          <w:insideV w:val="single" w:sz="8" w:space="0" w:color="FFFFFF" w:themeColor="lt1"/>
        </w:tcBorders>
        <w:shd w:val="clear" w:color="auto" w:fill="A7C0DE" w:themeFill="accent1" w:themeFillTint="7f"/>
      </w:tcPr>
    </w:tblStylePr>
  </w:style>
  <w:style w:type="table" w:styleId="MediumGrid3-Accent2">
    <w:name w:val="Medium Grid 3 Accent 2"/>
    <w:uiPriority w:val="69"/>
    <w:basedOn w:val="TableNormal"/>
    <w:pPr>
      <w:spacing w:after="0" w:line="240" w:lineRule="auto"/>
    </w:pPr>
    <w:tblPr>
      <w:tblInd w:w="0" w:type="dxa"/>
      <w:tblBorders>
        <w:top w:val="single" w:sz="8" w:space="0" w:color="FFFFFF" w:themeColor="lt1"/>
        <w:left w:val="single" w:sz="8" w:space="0" w:color="FFFFFF" w:themeColor="lt1"/>
        <w:bottom w:val="single" w:sz="8" w:space="0" w:color="FFFFFF" w:themeColor="lt1"/>
        <w:right w:val="single" w:sz="8" w:space="0" w:color="FFFFFF" w:themeColor="lt1"/>
        <w:insideH w:val="single" w:sz="6" w:space="0" w:color="FFFFFF" w:themeColor="lt1"/>
        <w:insideV w:val="single" w:sz="6" w:space="0" w:color="FFFFFF" w:themeColor="lt1"/>
      </w:tblBorders>
      <w:tblCellMar>
        <w:top w:w="0" w:type="dxa"/>
        <w:left w:w="108" w:type="dxa"/>
        <w:bottom w:w="0" w:type="dxa"/>
        <w:right w:w="108" w:type="dxa"/>
      </w:tblCellMar>
      <w:tblStyleColBandSize w:val="1"/>
      <w:tblStyleRowBandSize w:val="1"/>
    </w:tblPr>
    <w:tcPr>
      <w:shd w:val="clear" w:color="auto" w:fill="EFD3D3" w:themeFill="accent2" w:themeFillTint="3f"/>
    </w:tcPr>
    <w:tblStylePr w:type="firstRow">
      <w:rPr>
        <w:b/>
        <w:bCs/>
        <w:i w:val="0"/>
        <w:iCs w:val="0"/>
        <w:color w:val="FFFFFF"/>
      </w:rPr>
      <w:tblPr/>
      <w:tcPr>
        <w:tcBorders>
          <w:top w:val="single" w:sz="8" w:space="0" w:color="FFFFFF" w:themeColor="lt1"/>
          <w:left w:val="single" w:sz="8" w:space="0" w:color="FFFFFF" w:themeColor="lt1"/>
          <w:bottom w:val="single" w:sz="24" w:space="0" w:color="FFFFFF" w:themeColor="lt1"/>
          <w:right w:val="single" w:sz="8" w:space="0" w:color="FFFFFF" w:themeColor="lt1"/>
          <w:insideH w:val="nil"/>
          <w:insideV w:val="single" w:sz="8" w:space="0" w:color="FFFFFF" w:themeColor="lt1"/>
        </w:tcBorders>
        <w:shd w:val="clear" w:color="auto" w:fill="C0504D" w:themeFill="accent2"/>
      </w:tcPr>
    </w:tblStylePr>
    <w:tblStylePr w:type="lastRow">
      <w:rPr>
        <w:b/>
        <w:bCs/>
        <w:i w:val="0"/>
        <w:iCs w:val="0"/>
        <w:color w:val="FFFFFF"/>
      </w:rPr>
      <w:tblPr/>
      <w:tcPr>
        <w:tcBorders>
          <w:top w:val="single" w:sz="24" w:space="0" w:color="FFFFFF" w:themeColor="lt1"/>
          <w:left w:val="single" w:sz="8" w:space="0" w:color="FFFFFF" w:themeColor="lt1"/>
          <w:bottom w:val="single" w:sz="8" w:space="0" w:color="FFFFFF" w:themeColor="lt1"/>
          <w:right w:val="single" w:sz="8" w:space="0" w:color="FFFFFF" w:themeColor="lt1"/>
          <w:insideH w:val="nil"/>
          <w:insideV w:val="single" w:sz="8" w:space="0" w:color="FFFFFF" w:themeColor="lt1"/>
        </w:tcBorders>
        <w:shd w:val="clear" w:color="auto" w:fill="C0504D" w:themeFill="accent2"/>
      </w:tcPr>
    </w:tblStylePr>
    <w:tblStylePr w:type="firstCol">
      <w:rPr>
        <w:b/>
        <w:bCs/>
        <w:i w:val="0"/>
        <w:iCs w:val="0"/>
        <w:color w:val="FFFFFF"/>
      </w:rPr>
      <w:tblPr/>
      <w:tcPr>
        <w:tcBorders>
          <w:left w:val="single" w:sz="8" w:space="0" w:color="FFFFFF" w:themeColor="lt1"/>
          <w:right w:val="single" w:sz="24" w:space="0" w:color="FFFFFF" w:themeColor="lt1"/>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themeColor="lt1"/>
          <w:bottom w:val="nil"/>
          <w:right w:val="nil"/>
          <w:insideH w:val="nil"/>
          <w:insideV w:val="nil"/>
        </w:tcBorders>
        <w:shd w:val="clear" w:color="auto" w:fill="C0504D" w:themeFill="accent2"/>
      </w:tcPr>
    </w:tblStylePr>
    <w:tblStylePr w:type="band1Vert">
      <w:tblPr/>
      <w:tcPr>
        <w:tcBorders>
          <w:top w:val="single" w:sz="8" w:space="0" w:color="FFFFFF" w:themeColor="lt1"/>
          <w:left w:val="single" w:sz="8" w:space="0" w:color="FFFFFF" w:themeColor="lt1"/>
          <w:bottom w:val="single" w:sz="8" w:space="0" w:color="FFFFFF" w:themeColor="lt1"/>
          <w:right w:val="single" w:sz="8" w:space="0" w:color="FFFFFF" w:themeColor="lt1"/>
          <w:insideH w:val="nil"/>
          <w:insideV w:val="nil"/>
        </w:tcBorders>
        <w:shd w:val="clear" w:color="auto" w:fill="DFA7A6" w:themeFill="accent2" w:themeFillTint="7f"/>
      </w:tcPr>
    </w:tblStylePr>
    <w:tblStylePr w:type="band1Horz">
      <w:tblPr/>
      <w:tcPr>
        <w:tcBorders>
          <w:top w:val="single" w:sz="8" w:space="0" w:color="FFFFFF" w:themeColor="lt1"/>
          <w:left w:val="single" w:sz="8" w:space="0" w:color="FFFFFF" w:themeColor="lt1"/>
          <w:bottom w:val="single" w:sz="8" w:space="0" w:color="FFFFFF" w:themeColor="lt1"/>
          <w:right w:val="single" w:sz="8" w:space="0" w:color="FFFFFF" w:themeColor="lt1"/>
          <w:insideH w:val="single" w:sz="8" w:space="0" w:color="FFFFFF" w:themeColor="lt1"/>
          <w:insideV w:val="single" w:sz="8" w:space="0" w:color="FFFFFF" w:themeColor="lt1"/>
        </w:tcBorders>
        <w:shd w:val="clear" w:color="auto" w:fill="DFA7A6" w:themeFill="accent2" w:themeFillTint="7f"/>
      </w:tcPr>
    </w:tblStylePr>
  </w:style>
  <w:style w:type="table" w:styleId="MediumGrid3-Accent3">
    <w:name w:val="Medium Grid 3 Accent 3"/>
    <w:uiPriority w:val="69"/>
    <w:basedOn w:val="TableNormal"/>
    <w:pPr>
      <w:spacing w:after="0" w:line="240" w:lineRule="auto"/>
    </w:pPr>
    <w:tblPr>
      <w:tblInd w:w="0" w:type="dxa"/>
      <w:tblBorders>
        <w:top w:val="single" w:sz="8" w:space="0" w:color="FFFFFF" w:themeColor="lt1"/>
        <w:left w:val="single" w:sz="8" w:space="0" w:color="FFFFFF" w:themeColor="lt1"/>
        <w:bottom w:val="single" w:sz="8" w:space="0" w:color="FFFFFF" w:themeColor="lt1"/>
        <w:right w:val="single" w:sz="8" w:space="0" w:color="FFFFFF" w:themeColor="lt1"/>
        <w:insideH w:val="single" w:sz="6" w:space="0" w:color="FFFFFF" w:themeColor="lt1"/>
        <w:insideV w:val="single" w:sz="6" w:space="0" w:color="FFFFFF" w:themeColor="lt1"/>
      </w:tblBorders>
      <w:tblCellMar>
        <w:top w:w="0" w:type="dxa"/>
        <w:left w:w="108" w:type="dxa"/>
        <w:bottom w:w="0" w:type="dxa"/>
        <w:right w:w="108" w:type="dxa"/>
      </w:tblCellMar>
      <w:tblStyleColBandSize w:val="1"/>
      <w:tblStyleRowBandSize w:val="1"/>
    </w:tblPr>
    <w:tcPr>
      <w:shd w:val="clear" w:color="auto" w:fill="E6EED5" w:themeFill="accent3" w:themeFillTint="3f"/>
    </w:tcPr>
    <w:tblStylePr w:type="firstRow">
      <w:rPr>
        <w:b/>
        <w:bCs/>
        <w:i w:val="0"/>
        <w:iCs w:val="0"/>
        <w:color w:val="FFFFFF"/>
      </w:rPr>
      <w:tblPr/>
      <w:tcPr>
        <w:tcBorders>
          <w:top w:val="single" w:sz="8" w:space="0" w:color="FFFFFF" w:themeColor="lt1"/>
          <w:left w:val="single" w:sz="8" w:space="0" w:color="FFFFFF" w:themeColor="lt1"/>
          <w:bottom w:val="single" w:sz="24" w:space="0" w:color="FFFFFF" w:themeColor="lt1"/>
          <w:right w:val="single" w:sz="8" w:space="0" w:color="FFFFFF" w:themeColor="lt1"/>
          <w:insideH w:val="nil"/>
          <w:insideV w:val="single" w:sz="8" w:space="0" w:color="FFFFFF" w:themeColor="lt1"/>
        </w:tcBorders>
        <w:shd w:val="clear" w:color="auto" w:fill="9BBB59" w:themeFill="accent3"/>
      </w:tcPr>
    </w:tblStylePr>
    <w:tblStylePr w:type="lastRow">
      <w:rPr>
        <w:b/>
        <w:bCs/>
        <w:i w:val="0"/>
        <w:iCs w:val="0"/>
        <w:color w:val="FFFFFF"/>
      </w:rPr>
      <w:tblPr/>
      <w:tcPr>
        <w:tcBorders>
          <w:top w:val="single" w:sz="24" w:space="0" w:color="FFFFFF" w:themeColor="lt1"/>
          <w:left w:val="single" w:sz="8" w:space="0" w:color="FFFFFF" w:themeColor="lt1"/>
          <w:bottom w:val="single" w:sz="8" w:space="0" w:color="FFFFFF" w:themeColor="lt1"/>
          <w:right w:val="single" w:sz="8" w:space="0" w:color="FFFFFF" w:themeColor="lt1"/>
          <w:insideH w:val="nil"/>
          <w:insideV w:val="single" w:sz="8" w:space="0" w:color="FFFFFF" w:themeColor="lt1"/>
        </w:tcBorders>
        <w:shd w:val="clear" w:color="auto" w:fill="9BBB59" w:themeFill="accent3"/>
      </w:tcPr>
    </w:tblStylePr>
    <w:tblStylePr w:type="firstCol">
      <w:rPr>
        <w:b/>
        <w:bCs/>
        <w:i w:val="0"/>
        <w:iCs w:val="0"/>
        <w:color w:val="FFFFFF"/>
      </w:rPr>
      <w:tblPr/>
      <w:tcPr>
        <w:tcBorders>
          <w:left w:val="single" w:sz="8" w:space="0" w:color="FFFFFF" w:themeColor="lt1"/>
          <w:right w:val="single" w:sz="24" w:space="0" w:color="FFFFFF" w:themeColor="lt1"/>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themeColor="lt1"/>
          <w:bottom w:val="nil"/>
          <w:right w:val="nil"/>
          <w:insideH w:val="nil"/>
          <w:insideV w:val="nil"/>
        </w:tcBorders>
        <w:shd w:val="clear" w:color="auto" w:fill="9BBB59" w:themeFill="accent3"/>
      </w:tcPr>
    </w:tblStylePr>
    <w:tblStylePr w:type="band1Vert">
      <w:tblPr/>
      <w:tcPr>
        <w:tcBorders>
          <w:top w:val="single" w:sz="8" w:space="0" w:color="FFFFFF" w:themeColor="lt1"/>
          <w:left w:val="single" w:sz="8" w:space="0" w:color="FFFFFF" w:themeColor="lt1"/>
          <w:bottom w:val="single" w:sz="8" w:space="0" w:color="FFFFFF" w:themeColor="lt1"/>
          <w:right w:val="single" w:sz="8" w:space="0" w:color="FFFFFF" w:themeColor="lt1"/>
          <w:insideH w:val="nil"/>
          <w:insideV w:val="nil"/>
        </w:tcBorders>
        <w:shd w:val="clear" w:color="auto" w:fill="CDDDAC" w:themeFill="accent3" w:themeFillTint="7f"/>
      </w:tcPr>
    </w:tblStylePr>
    <w:tblStylePr w:type="band1Horz">
      <w:tblPr/>
      <w:tcPr>
        <w:tcBorders>
          <w:top w:val="single" w:sz="8" w:space="0" w:color="FFFFFF" w:themeColor="lt1"/>
          <w:left w:val="single" w:sz="8" w:space="0" w:color="FFFFFF" w:themeColor="lt1"/>
          <w:bottom w:val="single" w:sz="8" w:space="0" w:color="FFFFFF" w:themeColor="lt1"/>
          <w:right w:val="single" w:sz="8" w:space="0" w:color="FFFFFF" w:themeColor="lt1"/>
          <w:insideH w:val="single" w:sz="8" w:space="0" w:color="FFFFFF" w:themeColor="lt1"/>
          <w:insideV w:val="single" w:sz="8" w:space="0" w:color="FFFFFF" w:themeColor="lt1"/>
        </w:tcBorders>
        <w:shd w:val="clear" w:color="auto" w:fill="CDDDAC" w:themeFill="accent3" w:themeFillTint="7f"/>
      </w:tcPr>
    </w:tblStylePr>
  </w:style>
  <w:style w:type="table" w:styleId="MediumGrid3-Accent4">
    <w:name w:val="Medium Grid 3 Accent 4"/>
    <w:uiPriority w:val="69"/>
    <w:basedOn w:val="TableNormal"/>
    <w:pPr>
      <w:spacing w:after="0" w:line="240" w:lineRule="auto"/>
    </w:pPr>
    <w:tblPr>
      <w:tblInd w:w="0" w:type="dxa"/>
      <w:tblBorders>
        <w:top w:val="single" w:sz="8" w:space="0" w:color="FFFFFF" w:themeColor="lt1"/>
        <w:left w:val="single" w:sz="8" w:space="0" w:color="FFFFFF" w:themeColor="lt1"/>
        <w:bottom w:val="single" w:sz="8" w:space="0" w:color="FFFFFF" w:themeColor="lt1"/>
        <w:right w:val="single" w:sz="8" w:space="0" w:color="FFFFFF" w:themeColor="lt1"/>
        <w:insideH w:val="single" w:sz="6" w:space="0" w:color="FFFFFF" w:themeColor="lt1"/>
        <w:insideV w:val="single" w:sz="6" w:space="0" w:color="FFFFFF" w:themeColor="lt1"/>
      </w:tblBorders>
      <w:tblCellMar>
        <w:top w:w="0" w:type="dxa"/>
        <w:left w:w="108" w:type="dxa"/>
        <w:bottom w:w="0" w:type="dxa"/>
        <w:right w:w="108" w:type="dxa"/>
      </w:tblCellMar>
      <w:tblStyleColBandSize w:val="1"/>
      <w:tblStyleRowBandSize w:val="1"/>
    </w:tblPr>
    <w:tcPr>
      <w:shd w:val="clear" w:color="auto" w:fill="DFD8E8" w:themeFill="accent4" w:themeFillTint="3f"/>
    </w:tcPr>
    <w:tblStylePr w:type="firstRow">
      <w:rPr>
        <w:b/>
        <w:bCs/>
        <w:i w:val="0"/>
        <w:iCs w:val="0"/>
        <w:color w:val="FFFFFF"/>
      </w:rPr>
      <w:tblPr/>
      <w:tcPr>
        <w:tcBorders>
          <w:top w:val="single" w:sz="8" w:space="0" w:color="FFFFFF" w:themeColor="lt1"/>
          <w:left w:val="single" w:sz="8" w:space="0" w:color="FFFFFF" w:themeColor="lt1"/>
          <w:bottom w:val="single" w:sz="24" w:space="0" w:color="FFFFFF" w:themeColor="lt1"/>
          <w:right w:val="single" w:sz="8" w:space="0" w:color="FFFFFF" w:themeColor="lt1"/>
          <w:insideH w:val="nil"/>
          <w:insideV w:val="single" w:sz="8" w:space="0" w:color="FFFFFF" w:themeColor="lt1"/>
        </w:tcBorders>
        <w:shd w:val="clear" w:color="auto" w:fill="8064A2" w:themeFill="accent4"/>
      </w:tcPr>
    </w:tblStylePr>
    <w:tblStylePr w:type="lastRow">
      <w:rPr>
        <w:b/>
        <w:bCs/>
        <w:i w:val="0"/>
        <w:iCs w:val="0"/>
        <w:color w:val="FFFFFF"/>
      </w:rPr>
      <w:tblPr/>
      <w:tcPr>
        <w:tcBorders>
          <w:top w:val="single" w:sz="24" w:space="0" w:color="FFFFFF" w:themeColor="lt1"/>
          <w:left w:val="single" w:sz="8" w:space="0" w:color="FFFFFF" w:themeColor="lt1"/>
          <w:bottom w:val="single" w:sz="8" w:space="0" w:color="FFFFFF" w:themeColor="lt1"/>
          <w:right w:val="single" w:sz="8" w:space="0" w:color="FFFFFF" w:themeColor="lt1"/>
          <w:insideH w:val="nil"/>
          <w:insideV w:val="single" w:sz="8" w:space="0" w:color="FFFFFF" w:themeColor="lt1"/>
        </w:tcBorders>
        <w:shd w:val="clear" w:color="auto" w:fill="8064A2" w:themeFill="accent4"/>
      </w:tcPr>
    </w:tblStylePr>
    <w:tblStylePr w:type="firstCol">
      <w:rPr>
        <w:b/>
        <w:bCs/>
        <w:i w:val="0"/>
        <w:iCs w:val="0"/>
        <w:color w:val="FFFFFF"/>
      </w:rPr>
      <w:tblPr/>
      <w:tcPr>
        <w:tcBorders>
          <w:left w:val="single" w:sz="8" w:space="0" w:color="FFFFFF" w:themeColor="lt1"/>
          <w:right w:val="single" w:sz="24" w:space="0" w:color="FFFFFF" w:themeColor="lt1"/>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themeColor="lt1"/>
          <w:bottom w:val="nil"/>
          <w:right w:val="nil"/>
          <w:insideH w:val="nil"/>
          <w:insideV w:val="nil"/>
        </w:tcBorders>
        <w:shd w:val="clear" w:color="auto" w:fill="8064A2" w:themeFill="accent4"/>
      </w:tcPr>
    </w:tblStylePr>
    <w:tblStylePr w:type="band1Vert">
      <w:tblPr/>
      <w:tcPr>
        <w:tcBorders>
          <w:top w:val="single" w:sz="8" w:space="0" w:color="FFFFFF" w:themeColor="lt1"/>
          <w:left w:val="single" w:sz="8" w:space="0" w:color="FFFFFF" w:themeColor="lt1"/>
          <w:bottom w:val="single" w:sz="8" w:space="0" w:color="FFFFFF" w:themeColor="lt1"/>
          <w:right w:val="single" w:sz="8" w:space="0" w:color="FFFFFF" w:themeColor="lt1"/>
          <w:insideH w:val="nil"/>
          <w:insideV w:val="nil"/>
        </w:tcBorders>
        <w:shd w:val="clear" w:color="auto" w:fill="BFB1D0" w:themeFill="accent4" w:themeFillTint="7f"/>
      </w:tcPr>
    </w:tblStylePr>
    <w:tblStylePr w:type="band1Horz">
      <w:tblPr/>
      <w:tcPr>
        <w:tcBorders>
          <w:top w:val="single" w:sz="8" w:space="0" w:color="FFFFFF" w:themeColor="lt1"/>
          <w:left w:val="single" w:sz="8" w:space="0" w:color="FFFFFF" w:themeColor="lt1"/>
          <w:bottom w:val="single" w:sz="8" w:space="0" w:color="FFFFFF" w:themeColor="lt1"/>
          <w:right w:val="single" w:sz="8" w:space="0" w:color="FFFFFF" w:themeColor="lt1"/>
          <w:insideH w:val="single" w:sz="8" w:space="0" w:color="FFFFFF" w:themeColor="lt1"/>
          <w:insideV w:val="single" w:sz="8" w:space="0" w:color="FFFFFF" w:themeColor="lt1"/>
        </w:tcBorders>
        <w:shd w:val="clear" w:color="auto" w:fill="BFB1D0" w:themeFill="accent4" w:themeFillTint="7f"/>
      </w:tcPr>
    </w:tblStylePr>
  </w:style>
  <w:style w:type="table" w:styleId="MediumGrid3-Accent5">
    <w:name w:val="Medium Grid 3 Accent 5"/>
    <w:uiPriority w:val="69"/>
    <w:basedOn w:val="TableNormal"/>
    <w:pPr>
      <w:spacing w:after="0" w:line="240" w:lineRule="auto"/>
    </w:pPr>
    <w:tblPr>
      <w:tblInd w:w="0" w:type="dxa"/>
      <w:tblBorders>
        <w:top w:val="single" w:sz="8" w:space="0" w:color="FFFFFF" w:themeColor="lt1"/>
        <w:left w:val="single" w:sz="8" w:space="0" w:color="FFFFFF" w:themeColor="lt1"/>
        <w:bottom w:val="single" w:sz="8" w:space="0" w:color="FFFFFF" w:themeColor="lt1"/>
        <w:right w:val="single" w:sz="8" w:space="0" w:color="FFFFFF" w:themeColor="lt1"/>
        <w:insideH w:val="single" w:sz="6" w:space="0" w:color="FFFFFF" w:themeColor="lt1"/>
        <w:insideV w:val="single" w:sz="6" w:space="0" w:color="FFFFFF" w:themeColor="lt1"/>
      </w:tblBorders>
      <w:tblCellMar>
        <w:top w:w="0" w:type="dxa"/>
        <w:left w:w="108" w:type="dxa"/>
        <w:bottom w:w="0" w:type="dxa"/>
        <w:right w:w="108" w:type="dxa"/>
      </w:tblCellMar>
      <w:tblStyleColBandSize w:val="1"/>
      <w:tblStyleRowBandSize w:val="1"/>
    </w:tblPr>
    <w:tcPr>
      <w:shd w:val="clear" w:color="auto" w:fill="D2EAF0" w:themeFill="accent5" w:themeFillTint="3f"/>
    </w:tcPr>
    <w:tblStylePr w:type="firstRow">
      <w:rPr>
        <w:b/>
        <w:bCs/>
        <w:i w:val="0"/>
        <w:iCs w:val="0"/>
        <w:color w:val="FFFFFF"/>
      </w:rPr>
      <w:tblPr/>
      <w:tcPr>
        <w:tcBorders>
          <w:top w:val="single" w:sz="8" w:space="0" w:color="FFFFFF" w:themeColor="lt1"/>
          <w:left w:val="single" w:sz="8" w:space="0" w:color="FFFFFF" w:themeColor="lt1"/>
          <w:bottom w:val="single" w:sz="24" w:space="0" w:color="FFFFFF" w:themeColor="lt1"/>
          <w:right w:val="single" w:sz="8" w:space="0" w:color="FFFFFF" w:themeColor="lt1"/>
          <w:insideH w:val="nil"/>
          <w:insideV w:val="single" w:sz="8" w:space="0" w:color="FFFFFF" w:themeColor="lt1"/>
        </w:tcBorders>
        <w:shd w:val="clear" w:color="auto" w:fill="4BACC6" w:themeFill="accent5"/>
      </w:tcPr>
    </w:tblStylePr>
    <w:tblStylePr w:type="lastRow">
      <w:rPr>
        <w:b/>
        <w:bCs/>
        <w:i w:val="0"/>
        <w:iCs w:val="0"/>
        <w:color w:val="FFFFFF"/>
      </w:rPr>
      <w:tblPr/>
      <w:tcPr>
        <w:tcBorders>
          <w:top w:val="single" w:sz="24" w:space="0" w:color="FFFFFF" w:themeColor="lt1"/>
          <w:left w:val="single" w:sz="8" w:space="0" w:color="FFFFFF" w:themeColor="lt1"/>
          <w:bottom w:val="single" w:sz="8" w:space="0" w:color="FFFFFF" w:themeColor="lt1"/>
          <w:right w:val="single" w:sz="8" w:space="0" w:color="FFFFFF" w:themeColor="lt1"/>
          <w:insideH w:val="nil"/>
          <w:insideV w:val="single" w:sz="8" w:space="0" w:color="FFFFFF" w:themeColor="lt1"/>
        </w:tcBorders>
        <w:shd w:val="clear" w:color="auto" w:fill="4BACC6" w:themeFill="accent5"/>
      </w:tcPr>
    </w:tblStylePr>
    <w:tblStylePr w:type="firstCol">
      <w:rPr>
        <w:b/>
        <w:bCs/>
        <w:i w:val="0"/>
        <w:iCs w:val="0"/>
        <w:color w:val="FFFFFF"/>
      </w:rPr>
      <w:tblPr/>
      <w:tcPr>
        <w:tcBorders>
          <w:left w:val="single" w:sz="8" w:space="0" w:color="FFFFFF" w:themeColor="lt1"/>
          <w:right w:val="single" w:sz="24" w:space="0" w:color="FFFFFF" w:themeColor="lt1"/>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themeColor="lt1"/>
          <w:bottom w:val="nil"/>
          <w:right w:val="nil"/>
          <w:insideH w:val="nil"/>
          <w:insideV w:val="nil"/>
        </w:tcBorders>
        <w:shd w:val="clear" w:color="auto" w:fill="4BACC6" w:themeFill="accent5"/>
      </w:tcPr>
    </w:tblStylePr>
    <w:tblStylePr w:type="band1Vert">
      <w:tblPr/>
      <w:tcPr>
        <w:tcBorders>
          <w:top w:val="single" w:sz="8" w:space="0" w:color="FFFFFF" w:themeColor="lt1"/>
          <w:left w:val="single" w:sz="8" w:space="0" w:color="FFFFFF" w:themeColor="lt1"/>
          <w:bottom w:val="single" w:sz="8" w:space="0" w:color="FFFFFF" w:themeColor="lt1"/>
          <w:right w:val="single" w:sz="8" w:space="0" w:color="FFFFFF" w:themeColor="lt1"/>
          <w:insideH w:val="nil"/>
          <w:insideV w:val="nil"/>
        </w:tcBorders>
        <w:shd w:val="clear" w:color="auto" w:fill="A5D5E2" w:themeFill="accent5" w:themeFillTint="7f"/>
      </w:tcPr>
    </w:tblStylePr>
    <w:tblStylePr w:type="band1Horz">
      <w:tblPr/>
      <w:tcPr>
        <w:tcBorders>
          <w:top w:val="single" w:sz="8" w:space="0" w:color="FFFFFF" w:themeColor="lt1"/>
          <w:left w:val="single" w:sz="8" w:space="0" w:color="FFFFFF" w:themeColor="lt1"/>
          <w:bottom w:val="single" w:sz="8" w:space="0" w:color="FFFFFF" w:themeColor="lt1"/>
          <w:right w:val="single" w:sz="8" w:space="0" w:color="FFFFFF" w:themeColor="lt1"/>
          <w:insideH w:val="single" w:sz="8" w:space="0" w:color="FFFFFF" w:themeColor="lt1"/>
          <w:insideV w:val="single" w:sz="8" w:space="0" w:color="FFFFFF" w:themeColor="lt1"/>
        </w:tcBorders>
        <w:shd w:val="clear" w:color="auto" w:fill="A5D5E2" w:themeFill="accent5" w:themeFillTint="7f"/>
      </w:tcPr>
    </w:tblStylePr>
  </w:style>
  <w:style w:type="table" w:styleId="MediumGrid3-Accent6">
    <w:name w:val="Medium Grid 3 Accent 6"/>
    <w:uiPriority w:val="69"/>
    <w:basedOn w:val="TableNormal"/>
    <w:pPr>
      <w:spacing w:after="0" w:line="240" w:lineRule="auto"/>
    </w:pPr>
    <w:tblPr>
      <w:tblInd w:w="0" w:type="dxa"/>
      <w:tblBorders>
        <w:top w:val="single" w:sz="8" w:space="0" w:color="FFFFFF" w:themeColor="lt1"/>
        <w:left w:val="single" w:sz="8" w:space="0" w:color="FFFFFF" w:themeColor="lt1"/>
        <w:bottom w:val="single" w:sz="8" w:space="0" w:color="FFFFFF" w:themeColor="lt1"/>
        <w:right w:val="single" w:sz="8" w:space="0" w:color="FFFFFF" w:themeColor="lt1"/>
        <w:insideH w:val="single" w:sz="6" w:space="0" w:color="FFFFFF" w:themeColor="lt1"/>
        <w:insideV w:val="single" w:sz="6" w:space="0" w:color="FFFFFF" w:themeColor="lt1"/>
      </w:tblBorders>
      <w:tblCellMar>
        <w:top w:w="0" w:type="dxa"/>
        <w:left w:w="108" w:type="dxa"/>
        <w:bottom w:w="0" w:type="dxa"/>
        <w:right w:w="108" w:type="dxa"/>
      </w:tblCellMar>
      <w:tblStyleColBandSize w:val="1"/>
      <w:tblStyleRowBandSize w:val="1"/>
    </w:tblPr>
    <w:tcPr>
      <w:shd w:val="clear" w:color="auto" w:fill="FDE5D1" w:themeFill="accent6" w:themeFillTint="3f"/>
    </w:tcPr>
    <w:tblStylePr w:type="firstRow">
      <w:rPr>
        <w:b/>
        <w:bCs/>
        <w:i w:val="0"/>
        <w:iCs w:val="0"/>
        <w:color w:val="FFFFFF"/>
      </w:rPr>
      <w:tblPr/>
      <w:tcPr>
        <w:tcBorders>
          <w:top w:val="single" w:sz="8" w:space="0" w:color="FFFFFF" w:themeColor="lt1"/>
          <w:left w:val="single" w:sz="8" w:space="0" w:color="FFFFFF" w:themeColor="lt1"/>
          <w:bottom w:val="single" w:sz="24" w:space="0" w:color="FFFFFF" w:themeColor="lt1"/>
          <w:right w:val="single" w:sz="8" w:space="0" w:color="FFFFFF" w:themeColor="lt1"/>
          <w:insideH w:val="nil"/>
          <w:insideV w:val="single" w:sz="8" w:space="0" w:color="FFFFFF" w:themeColor="lt1"/>
        </w:tcBorders>
        <w:shd w:val="clear" w:color="auto" w:fill="F79646" w:themeFill="accent6"/>
      </w:tcPr>
    </w:tblStylePr>
    <w:tblStylePr w:type="lastRow">
      <w:rPr>
        <w:b/>
        <w:bCs/>
        <w:i w:val="0"/>
        <w:iCs w:val="0"/>
        <w:color w:val="FFFFFF"/>
      </w:rPr>
      <w:tblPr/>
      <w:tcPr>
        <w:tcBorders>
          <w:top w:val="single" w:sz="24" w:space="0" w:color="FFFFFF" w:themeColor="lt1"/>
          <w:left w:val="single" w:sz="8" w:space="0" w:color="FFFFFF" w:themeColor="lt1"/>
          <w:bottom w:val="single" w:sz="8" w:space="0" w:color="FFFFFF" w:themeColor="lt1"/>
          <w:right w:val="single" w:sz="8" w:space="0" w:color="FFFFFF" w:themeColor="lt1"/>
          <w:insideH w:val="nil"/>
          <w:insideV w:val="single" w:sz="8" w:space="0" w:color="FFFFFF" w:themeColor="lt1"/>
        </w:tcBorders>
        <w:shd w:val="clear" w:color="auto" w:fill="F79646" w:themeFill="accent6"/>
      </w:tcPr>
    </w:tblStylePr>
    <w:tblStylePr w:type="firstCol">
      <w:rPr>
        <w:b/>
        <w:bCs/>
        <w:i w:val="0"/>
        <w:iCs w:val="0"/>
        <w:color w:val="FFFFFF"/>
      </w:rPr>
      <w:tblPr/>
      <w:tcPr>
        <w:tcBorders>
          <w:left w:val="single" w:sz="8" w:space="0" w:color="FFFFFF" w:themeColor="lt1"/>
          <w:right w:val="single" w:sz="24" w:space="0" w:color="FFFFFF" w:themeColor="lt1"/>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themeColor="lt1"/>
          <w:bottom w:val="nil"/>
          <w:right w:val="nil"/>
          <w:insideH w:val="nil"/>
          <w:insideV w:val="nil"/>
        </w:tcBorders>
        <w:shd w:val="clear" w:color="auto" w:fill="F79646" w:themeFill="accent6"/>
      </w:tcPr>
    </w:tblStylePr>
    <w:tblStylePr w:type="band1Vert">
      <w:tblPr/>
      <w:tcPr>
        <w:tcBorders>
          <w:top w:val="single" w:sz="8" w:space="0" w:color="FFFFFF" w:themeColor="lt1"/>
          <w:left w:val="single" w:sz="8" w:space="0" w:color="FFFFFF" w:themeColor="lt1"/>
          <w:bottom w:val="single" w:sz="8" w:space="0" w:color="FFFFFF" w:themeColor="lt1"/>
          <w:right w:val="single" w:sz="8" w:space="0" w:color="FFFFFF" w:themeColor="lt1"/>
          <w:insideH w:val="nil"/>
          <w:insideV w:val="nil"/>
        </w:tcBorders>
        <w:shd w:val="clear" w:color="auto" w:fill="FBCAA2" w:themeFill="accent6" w:themeFillTint="7f"/>
      </w:tcPr>
    </w:tblStylePr>
    <w:tblStylePr w:type="band1Horz">
      <w:tblPr/>
      <w:tcPr>
        <w:tcBorders>
          <w:top w:val="single" w:sz="8" w:space="0" w:color="FFFFFF" w:themeColor="lt1"/>
          <w:left w:val="single" w:sz="8" w:space="0" w:color="FFFFFF" w:themeColor="lt1"/>
          <w:bottom w:val="single" w:sz="8" w:space="0" w:color="FFFFFF" w:themeColor="lt1"/>
          <w:right w:val="single" w:sz="8" w:space="0" w:color="FFFFFF" w:themeColor="lt1"/>
          <w:insideH w:val="single" w:sz="8" w:space="0" w:color="FFFFFF" w:themeColor="lt1"/>
          <w:insideV w:val="single" w:sz="8" w:space="0" w:color="FFFFFF" w:themeColor="lt1"/>
        </w:tcBorders>
        <w:shd w:val="clear" w:color="auto" w:fill="FBCAA2" w:themeFill="accent6" w:themeFillTint="7f"/>
      </w:tcPr>
    </w:tblStylePr>
  </w:style>
  <w:style w:type="table" w:styleId="DarkList">
    <w:name w:val="Dark List"/>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000000" w:themeFill="dk1"/>
    </w:tcPr>
    <w:tblStylePr w:type="firstRow">
      <w:rPr>
        <w:b/>
        <w:bCs/>
      </w:rPr>
      <w:tblPr/>
      <w:tcPr>
        <w:tcBorders>
          <w:top w:val="nil"/>
          <w:left w:val="nil"/>
          <w:bottom w:val="single" w:sz="18" w:space="0" w:color="FFFFFF" w:themeColor="lt1"/>
          <w:right w:val="nil"/>
          <w:insideH w:val="nil"/>
          <w:insideV w:val="nil"/>
        </w:tcBorders>
        <w:shd w:val="clear" w:color="auto" w:fill="000000" w:themeFill="dk1"/>
      </w:tcPr>
    </w:tblStylePr>
    <w:tblStylePr w:type="lastRow">
      <w:tblPr/>
      <w:tcPr>
        <w:tcBorders>
          <w:top w:val="single" w:sz="18" w:space="0" w:color="FFFFFF" w:themeColor="lt1"/>
          <w:left w:val="nil"/>
          <w:bottom w:val="nil"/>
          <w:right w:val="nil"/>
          <w:insideH w:val="nil"/>
          <w:insideV w:val="nil"/>
        </w:tcBorders>
        <w:shd w:val="clear" w:color="auto" w:fill="000000" w:themeFill="dk1" w:themeFillShade="7f"/>
      </w:tcPr>
    </w:tblStylePr>
    <w:tblStylePr w:type="firstCol">
      <w:tblPr/>
      <w:tcPr>
        <w:tcBorders>
          <w:top w:val="nil"/>
          <w:left w:val="nil"/>
          <w:bottom w:val="nil"/>
          <w:right w:val="single" w:sz="18" w:space="0" w:color="FFFFFF" w:themeColor="lt1"/>
          <w:insideH w:val="nil"/>
          <w:insideV w:val="nil"/>
        </w:tcBorders>
        <w:shd w:val="clear" w:color="auto" w:fill="000000" w:themeFill="dk1" w:themeFillShade="bf"/>
      </w:tcPr>
    </w:tblStylePr>
    <w:tblStylePr w:type="lastCol">
      <w:tblPr/>
      <w:tcPr>
        <w:tcBorders>
          <w:top w:val="nil"/>
          <w:left w:val="single" w:sz="18" w:space="0" w:color="FFFFFF" w:themeColor="lt1"/>
          <w:bottom w:val="nil"/>
          <w:right w:val="nil"/>
          <w:insideH w:val="nil"/>
          <w:insideV w:val="nil"/>
        </w:tcBorders>
        <w:shd w:val="clear" w:color="auto" w:fill="000000" w:themeFill="dk1" w:themeFillShade="bf"/>
      </w:tcPr>
    </w:tblStylePr>
    <w:tblStylePr w:type="band1Vert">
      <w:tblPr/>
      <w:tcPr>
        <w:tcBorders>
          <w:top w:val="nil"/>
          <w:left w:val="nil"/>
          <w:bottom w:val="nil"/>
          <w:right w:val="nil"/>
          <w:insideH w:val="nil"/>
          <w:insideV w:val="nil"/>
        </w:tcBorders>
        <w:shd w:val="clear" w:color="auto" w:fill="000000" w:themeFill="dk1" w:themeFillShade="bf"/>
      </w:tcPr>
    </w:tblStylePr>
    <w:tblStylePr w:type="band1Horz">
      <w:tblPr/>
      <w:tcPr>
        <w:tcBorders>
          <w:top w:val="nil"/>
          <w:left w:val="nil"/>
          <w:bottom w:val="nil"/>
          <w:right w:val="nil"/>
          <w:insideH w:val="nil"/>
          <w:insideV w:val="nil"/>
        </w:tcBorders>
        <w:shd w:val="clear" w:color="auto" w:fill="000000" w:themeFill="dk1" w:themeFillShade="bf"/>
      </w:tcPr>
    </w:tblStylePr>
  </w:style>
  <w:style w:type="table" w:styleId="DarkList-Accent1">
    <w:name w:val="Dark List Accent 1"/>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4F81BD" w:themeFill="accent1"/>
    </w:tcPr>
    <w:tblStylePr w:type="firstRow">
      <w:rPr>
        <w:b/>
        <w:bCs/>
      </w:rPr>
      <w:tblPr/>
      <w:tcPr>
        <w:tcBorders>
          <w:top w:val="nil"/>
          <w:left w:val="nil"/>
          <w:bottom w:val="single" w:sz="18" w:space="0" w:color="FFFFFF" w:themeColor="lt1"/>
          <w:right w:val="nil"/>
          <w:insideH w:val="nil"/>
          <w:insideV w:val="nil"/>
        </w:tcBorders>
        <w:shd w:val="clear" w:color="auto" w:fill="000000" w:themeFill="dk1"/>
      </w:tcPr>
    </w:tblStylePr>
    <w:tblStylePr w:type="lastRow">
      <w:tblPr/>
      <w:tcPr>
        <w:tcBorders>
          <w:top w:val="single" w:sz="18" w:space="0" w:color="FFFFFF" w:themeColor="lt1"/>
          <w:left w:val="nil"/>
          <w:bottom w:val="nil"/>
          <w:right w:val="nil"/>
          <w:insideH w:val="nil"/>
          <w:insideV w:val="nil"/>
        </w:tcBorders>
        <w:shd w:val="clear" w:color="auto" w:fill="244061" w:themeFill="accent1" w:themeFillShade="7f"/>
      </w:tcPr>
    </w:tblStylePr>
    <w:tblStylePr w:type="firstCol">
      <w:tblPr/>
      <w:tcPr>
        <w:tcBorders>
          <w:top w:val="nil"/>
          <w:left w:val="nil"/>
          <w:bottom w:val="nil"/>
          <w:right w:val="single" w:sz="18" w:space="0" w:color="FFFFFF" w:themeColor="lt1"/>
          <w:insideH w:val="nil"/>
          <w:insideV w:val="nil"/>
        </w:tcBorders>
        <w:shd w:val="clear" w:color="auto" w:fill="376092" w:themeFill="accent1" w:themeFillShade="bf"/>
      </w:tcPr>
    </w:tblStylePr>
    <w:tblStylePr w:type="lastCol">
      <w:tblPr/>
      <w:tcPr>
        <w:tcBorders>
          <w:top w:val="nil"/>
          <w:left w:val="single" w:sz="18" w:space="0" w:color="FFFFFF" w:themeColor="lt1"/>
          <w:bottom w:val="nil"/>
          <w:right w:val="nil"/>
          <w:insideH w:val="nil"/>
          <w:insideV w:val="nil"/>
        </w:tcBorders>
        <w:shd w:val="clear" w:color="auto" w:fill="376092" w:themeFill="accent1" w:themeFillShade="bf"/>
      </w:tcPr>
    </w:tblStylePr>
    <w:tblStylePr w:type="band1Vert">
      <w:tblPr/>
      <w:tcPr>
        <w:tcBorders>
          <w:top w:val="nil"/>
          <w:left w:val="nil"/>
          <w:bottom w:val="nil"/>
          <w:right w:val="nil"/>
          <w:insideH w:val="nil"/>
          <w:insideV w:val="nil"/>
        </w:tcBorders>
        <w:shd w:val="clear" w:color="auto" w:fill="376092" w:themeFill="accent1" w:themeFillShade="bf"/>
      </w:tcPr>
    </w:tblStylePr>
    <w:tblStylePr w:type="band1Horz">
      <w:tblPr/>
      <w:tcPr>
        <w:tcBorders>
          <w:top w:val="nil"/>
          <w:left w:val="nil"/>
          <w:bottom w:val="nil"/>
          <w:right w:val="nil"/>
          <w:insideH w:val="nil"/>
          <w:insideV w:val="nil"/>
        </w:tcBorders>
        <w:shd w:val="clear" w:color="auto" w:fill="376092" w:themeFill="accent1" w:themeFillShade="bf"/>
      </w:tcPr>
    </w:tblStylePr>
  </w:style>
  <w:style w:type="table" w:styleId="DarkList-Accent2">
    <w:name w:val="Dark List Accent 2"/>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C0504D" w:themeFill="accent2"/>
    </w:tcPr>
    <w:tblStylePr w:type="firstRow">
      <w:rPr>
        <w:b/>
        <w:bCs/>
      </w:rPr>
      <w:tblPr/>
      <w:tcPr>
        <w:tcBorders>
          <w:top w:val="nil"/>
          <w:left w:val="nil"/>
          <w:bottom w:val="single" w:sz="18" w:space="0" w:color="FFFFFF" w:themeColor="lt1"/>
          <w:right w:val="nil"/>
          <w:insideH w:val="nil"/>
          <w:insideV w:val="nil"/>
        </w:tcBorders>
        <w:shd w:val="clear" w:color="auto" w:fill="000000" w:themeFill="dk1"/>
      </w:tcPr>
    </w:tblStylePr>
    <w:tblStylePr w:type="lastRow">
      <w:tblPr/>
      <w:tcPr>
        <w:tcBorders>
          <w:top w:val="single" w:sz="18" w:space="0" w:color="FFFFFF" w:themeColor="lt1"/>
          <w:left w:val="nil"/>
          <w:bottom w:val="nil"/>
          <w:right w:val="nil"/>
          <w:insideH w:val="nil"/>
          <w:insideV w:val="nil"/>
        </w:tcBorders>
        <w:shd w:val="clear" w:color="auto" w:fill="632523" w:themeFill="accent2" w:themeFillShade="7f"/>
      </w:tcPr>
    </w:tblStylePr>
    <w:tblStylePr w:type="firstCol">
      <w:tblPr/>
      <w:tcPr>
        <w:tcBorders>
          <w:top w:val="nil"/>
          <w:left w:val="nil"/>
          <w:bottom w:val="nil"/>
          <w:right w:val="single" w:sz="18" w:space="0" w:color="FFFFFF" w:themeColor="lt1"/>
          <w:insideH w:val="nil"/>
          <w:insideV w:val="nil"/>
        </w:tcBorders>
        <w:shd w:val="clear" w:color="auto" w:fill="953735" w:themeFill="accent2" w:themeFillShade="bf"/>
      </w:tcPr>
    </w:tblStylePr>
    <w:tblStylePr w:type="lastCol">
      <w:tblPr/>
      <w:tcPr>
        <w:tcBorders>
          <w:top w:val="nil"/>
          <w:left w:val="single" w:sz="18" w:space="0" w:color="FFFFFF" w:themeColor="lt1"/>
          <w:bottom w:val="nil"/>
          <w:right w:val="nil"/>
          <w:insideH w:val="nil"/>
          <w:insideV w:val="nil"/>
        </w:tcBorders>
        <w:shd w:val="clear" w:color="auto" w:fill="953735" w:themeFill="accent2" w:themeFillShade="bf"/>
      </w:tcPr>
    </w:tblStylePr>
    <w:tblStylePr w:type="band1Vert">
      <w:tblPr/>
      <w:tcPr>
        <w:tcBorders>
          <w:top w:val="nil"/>
          <w:left w:val="nil"/>
          <w:bottom w:val="nil"/>
          <w:right w:val="nil"/>
          <w:insideH w:val="nil"/>
          <w:insideV w:val="nil"/>
        </w:tcBorders>
        <w:shd w:val="clear" w:color="auto" w:fill="953735" w:themeFill="accent2" w:themeFillShade="bf"/>
      </w:tcPr>
    </w:tblStylePr>
    <w:tblStylePr w:type="band1Horz">
      <w:tblPr/>
      <w:tcPr>
        <w:tcBorders>
          <w:top w:val="nil"/>
          <w:left w:val="nil"/>
          <w:bottom w:val="nil"/>
          <w:right w:val="nil"/>
          <w:insideH w:val="nil"/>
          <w:insideV w:val="nil"/>
        </w:tcBorders>
        <w:shd w:val="clear" w:color="auto" w:fill="953735" w:themeFill="accent2" w:themeFillShade="bf"/>
      </w:tcPr>
    </w:tblStylePr>
  </w:style>
  <w:style w:type="table" w:styleId="DarkList-Accent3">
    <w:name w:val="Dark List Accent 3"/>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9BBB59" w:themeFill="accent3"/>
    </w:tcPr>
    <w:tblStylePr w:type="firstRow">
      <w:rPr>
        <w:b/>
        <w:bCs/>
      </w:rPr>
      <w:tblPr/>
      <w:tcPr>
        <w:tcBorders>
          <w:top w:val="nil"/>
          <w:left w:val="nil"/>
          <w:bottom w:val="single" w:sz="18" w:space="0" w:color="FFFFFF" w:themeColor="lt1"/>
          <w:right w:val="nil"/>
          <w:insideH w:val="nil"/>
          <w:insideV w:val="nil"/>
        </w:tcBorders>
        <w:shd w:val="clear" w:color="auto" w:fill="000000" w:themeFill="dk1"/>
      </w:tcPr>
    </w:tblStylePr>
    <w:tblStylePr w:type="lastRow">
      <w:tblPr/>
      <w:tcPr>
        <w:tcBorders>
          <w:top w:val="single" w:sz="18" w:space="0" w:color="FFFFFF" w:themeColor="lt1"/>
          <w:left w:val="nil"/>
          <w:bottom w:val="nil"/>
          <w:right w:val="nil"/>
          <w:insideH w:val="nil"/>
          <w:insideV w:val="nil"/>
        </w:tcBorders>
        <w:shd w:val="clear" w:color="auto" w:fill="4F6228" w:themeFill="accent3" w:themeFillShade="7f"/>
      </w:tcPr>
    </w:tblStylePr>
    <w:tblStylePr w:type="firstCol">
      <w:tblPr/>
      <w:tcPr>
        <w:tcBorders>
          <w:top w:val="nil"/>
          <w:left w:val="nil"/>
          <w:bottom w:val="nil"/>
          <w:right w:val="single" w:sz="18" w:space="0" w:color="FFFFFF" w:themeColor="lt1"/>
          <w:insideH w:val="nil"/>
          <w:insideV w:val="nil"/>
        </w:tcBorders>
        <w:shd w:val="clear" w:color="auto" w:fill="76933C" w:themeFill="accent3" w:themeFillShade="bf"/>
      </w:tcPr>
    </w:tblStylePr>
    <w:tblStylePr w:type="lastCol">
      <w:tblPr/>
      <w:tcPr>
        <w:tcBorders>
          <w:top w:val="nil"/>
          <w:left w:val="single" w:sz="18" w:space="0" w:color="FFFFFF" w:themeColor="lt1"/>
          <w:bottom w:val="nil"/>
          <w:right w:val="nil"/>
          <w:insideH w:val="nil"/>
          <w:insideV w:val="nil"/>
        </w:tcBorders>
        <w:shd w:val="clear" w:color="auto" w:fill="76933C" w:themeFill="accent3" w:themeFillShade="bf"/>
      </w:tcPr>
    </w:tblStylePr>
    <w:tblStylePr w:type="band1Vert">
      <w:tblPr/>
      <w:tcPr>
        <w:tcBorders>
          <w:top w:val="nil"/>
          <w:left w:val="nil"/>
          <w:bottom w:val="nil"/>
          <w:right w:val="nil"/>
          <w:insideH w:val="nil"/>
          <w:insideV w:val="nil"/>
        </w:tcBorders>
        <w:shd w:val="clear" w:color="auto" w:fill="76933C" w:themeFill="accent3" w:themeFillShade="bf"/>
      </w:tcPr>
    </w:tblStylePr>
    <w:tblStylePr w:type="band1Horz">
      <w:tblPr/>
      <w:tcPr>
        <w:tcBorders>
          <w:top w:val="nil"/>
          <w:left w:val="nil"/>
          <w:bottom w:val="nil"/>
          <w:right w:val="nil"/>
          <w:insideH w:val="nil"/>
          <w:insideV w:val="nil"/>
        </w:tcBorders>
        <w:shd w:val="clear" w:color="auto" w:fill="76933C" w:themeFill="accent3" w:themeFillShade="bf"/>
      </w:tcPr>
    </w:tblStylePr>
  </w:style>
  <w:style w:type="table" w:styleId="DarkList-Accent4">
    <w:name w:val="Dark List Accent 4"/>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8064A2" w:themeFill="accent4"/>
    </w:tcPr>
    <w:tblStylePr w:type="firstRow">
      <w:rPr>
        <w:b/>
        <w:bCs/>
      </w:rPr>
      <w:tblPr/>
      <w:tcPr>
        <w:tcBorders>
          <w:top w:val="nil"/>
          <w:left w:val="nil"/>
          <w:bottom w:val="single" w:sz="18" w:space="0" w:color="FFFFFF" w:themeColor="lt1"/>
          <w:right w:val="nil"/>
          <w:insideH w:val="nil"/>
          <w:insideV w:val="nil"/>
        </w:tcBorders>
        <w:shd w:val="clear" w:color="auto" w:fill="000000" w:themeFill="dk1"/>
      </w:tcPr>
    </w:tblStylePr>
    <w:tblStylePr w:type="lastRow">
      <w:tblPr/>
      <w:tcPr>
        <w:tcBorders>
          <w:top w:val="single" w:sz="18" w:space="0" w:color="FFFFFF" w:themeColor="lt1"/>
          <w:left w:val="nil"/>
          <w:bottom w:val="nil"/>
          <w:right w:val="nil"/>
          <w:insideH w:val="nil"/>
          <w:insideV w:val="nil"/>
        </w:tcBorders>
        <w:shd w:val="clear" w:color="auto" w:fill="403152" w:themeFill="accent4" w:themeFillShade="7f"/>
      </w:tcPr>
    </w:tblStylePr>
    <w:tblStylePr w:type="firstCol">
      <w:tblPr/>
      <w:tcPr>
        <w:tcBorders>
          <w:top w:val="nil"/>
          <w:left w:val="nil"/>
          <w:bottom w:val="nil"/>
          <w:right w:val="single" w:sz="18" w:space="0" w:color="FFFFFF" w:themeColor="lt1"/>
          <w:insideH w:val="nil"/>
          <w:insideV w:val="nil"/>
        </w:tcBorders>
        <w:shd w:val="clear" w:color="auto" w:fill="604A7B" w:themeFill="accent4" w:themeFillShade="bf"/>
      </w:tcPr>
    </w:tblStylePr>
    <w:tblStylePr w:type="lastCol">
      <w:tblPr/>
      <w:tcPr>
        <w:tcBorders>
          <w:top w:val="nil"/>
          <w:left w:val="single" w:sz="18" w:space="0" w:color="FFFFFF" w:themeColor="lt1"/>
          <w:bottom w:val="nil"/>
          <w:right w:val="nil"/>
          <w:insideH w:val="nil"/>
          <w:insideV w:val="nil"/>
        </w:tcBorders>
        <w:shd w:val="clear" w:color="auto" w:fill="604A7B" w:themeFill="accent4" w:themeFillShade="bf"/>
      </w:tcPr>
    </w:tblStylePr>
    <w:tblStylePr w:type="band1Vert">
      <w:tblPr/>
      <w:tcPr>
        <w:tcBorders>
          <w:top w:val="nil"/>
          <w:left w:val="nil"/>
          <w:bottom w:val="nil"/>
          <w:right w:val="nil"/>
          <w:insideH w:val="nil"/>
          <w:insideV w:val="nil"/>
        </w:tcBorders>
        <w:shd w:val="clear" w:color="auto" w:fill="604A7B" w:themeFill="accent4" w:themeFillShade="bf"/>
      </w:tcPr>
    </w:tblStylePr>
    <w:tblStylePr w:type="band1Horz">
      <w:tblPr/>
      <w:tcPr>
        <w:tcBorders>
          <w:top w:val="nil"/>
          <w:left w:val="nil"/>
          <w:bottom w:val="nil"/>
          <w:right w:val="nil"/>
          <w:insideH w:val="nil"/>
          <w:insideV w:val="nil"/>
        </w:tcBorders>
        <w:shd w:val="clear" w:color="auto" w:fill="604A7B" w:themeFill="accent4" w:themeFillShade="bf"/>
      </w:tcPr>
    </w:tblStylePr>
  </w:style>
  <w:style w:type="table" w:styleId="DarkList-Accent5">
    <w:name w:val="Dark List Accent 5"/>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4BACC6" w:themeFill="accent5"/>
    </w:tcPr>
    <w:tblStylePr w:type="firstRow">
      <w:rPr>
        <w:b/>
        <w:bCs/>
      </w:rPr>
      <w:tblPr/>
      <w:tcPr>
        <w:tcBorders>
          <w:top w:val="nil"/>
          <w:left w:val="nil"/>
          <w:bottom w:val="single" w:sz="18" w:space="0" w:color="FFFFFF" w:themeColor="lt1"/>
          <w:right w:val="nil"/>
          <w:insideH w:val="nil"/>
          <w:insideV w:val="nil"/>
        </w:tcBorders>
        <w:shd w:val="clear" w:color="auto" w:fill="000000" w:themeFill="dk1"/>
      </w:tcPr>
    </w:tblStylePr>
    <w:tblStylePr w:type="lastRow">
      <w:tblPr/>
      <w:tcPr>
        <w:tcBorders>
          <w:top w:val="single" w:sz="18" w:space="0" w:color="FFFFFF" w:themeColor="lt1"/>
          <w:left w:val="nil"/>
          <w:bottom w:val="nil"/>
          <w:right w:val="nil"/>
          <w:insideH w:val="nil"/>
          <w:insideV w:val="nil"/>
        </w:tcBorders>
        <w:shd w:val="clear" w:color="auto" w:fill="215867" w:themeFill="accent5" w:themeFillShade="7f"/>
      </w:tcPr>
    </w:tblStylePr>
    <w:tblStylePr w:type="firstCol">
      <w:tblPr/>
      <w:tcPr>
        <w:tcBorders>
          <w:top w:val="nil"/>
          <w:left w:val="nil"/>
          <w:bottom w:val="nil"/>
          <w:right w:val="single" w:sz="18" w:space="0" w:color="FFFFFF" w:themeColor="lt1"/>
          <w:insideH w:val="nil"/>
          <w:insideV w:val="nil"/>
        </w:tcBorders>
        <w:shd w:val="clear" w:color="auto" w:fill="31859B" w:themeFill="accent5" w:themeFillShade="bf"/>
      </w:tcPr>
    </w:tblStylePr>
    <w:tblStylePr w:type="lastCol">
      <w:tblPr/>
      <w:tcPr>
        <w:tcBorders>
          <w:top w:val="nil"/>
          <w:left w:val="single" w:sz="18" w:space="0" w:color="FFFFFF" w:themeColor="lt1"/>
          <w:bottom w:val="nil"/>
          <w:right w:val="nil"/>
          <w:insideH w:val="nil"/>
          <w:insideV w:val="nil"/>
        </w:tcBorders>
        <w:shd w:val="clear" w:color="auto" w:fill="31859B" w:themeFill="accent5" w:themeFillShade="bf"/>
      </w:tcPr>
    </w:tblStylePr>
    <w:tblStylePr w:type="band1Vert">
      <w:tblPr/>
      <w:tcPr>
        <w:tcBorders>
          <w:top w:val="nil"/>
          <w:left w:val="nil"/>
          <w:bottom w:val="nil"/>
          <w:right w:val="nil"/>
          <w:insideH w:val="nil"/>
          <w:insideV w:val="nil"/>
        </w:tcBorders>
        <w:shd w:val="clear" w:color="auto" w:fill="31859B" w:themeFill="accent5" w:themeFillShade="bf"/>
      </w:tcPr>
    </w:tblStylePr>
    <w:tblStylePr w:type="band1Horz">
      <w:tblPr/>
      <w:tcPr>
        <w:tcBorders>
          <w:top w:val="nil"/>
          <w:left w:val="nil"/>
          <w:bottom w:val="nil"/>
          <w:right w:val="nil"/>
          <w:insideH w:val="nil"/>
          <w:insideV w:val="nil"/>
        </w:tcBorders>
        <w:shd w:val="clear" w:color="auto" w:fill="31859B" w:themeFill="accent5" w:themeFillShade="bf"/>
      </w:tcPr>
    </w:tblStylePr>
  </w:style>
  <w:style w:type="table" w:styleId="DarkList-Accent6">
    <w:name w:val="Dark List Accent 6"/>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F79646" w:themeFill="accent6"/>
    </w:tcPr>
    <w:tblStylePr w:type="firstRow">
      <w:rPr>
        <w:b/>
        <w:bCs/>
      </w:rPr>
      <w:tblPr/>
      <w:tcPr>
        <w:tcBorders>
          <w:top w:val="nil"/>
          <w:left w:val="nil"/>
          <w:bottom w:val="single" w:sz="18" w:space="0" w:color="FFFFFF" w:themeColor="lt1"/>
          <w:right w:val="nil"/>
          <w:insideH w:val="nil"/>
          <w:insideV w:val="nil"/>
        </w:tcBorders>
        <w:shd w:val="clear" w:color="auto" w:fill="000000" w:themeFill="dk1"/>
      </w:tcPr>
    </w:tblStylePr>
    <w:tblStylePr w:type="lastRow">
      <w:tblPr/>
      <w:tcPr>
        <w:tcBorders>
          <w:top w:val="single" w:sz="18" w:space="0" w:color="FFFFFF" w:themeColor="lt1"/>
          <w:left w:val="nil"/>
          <w:bottom w:val="nil"/>
          <w:right w:val="nil"/>
          <w:insideH w:val="nil"/>
          <w:insideV w:val="nil"/>
        </w:tcBorders>
        <w:shd w:val="clear" w:color="auto" w:fill="974807" w:themeFill="accent6" w:themeFillShade="7f"/>
      </w:tcPr>
    </w:tblStylePr>
    <w:tblStylePr w:type="firstCol">
      <w:tblPr/>
      <w:tcPr>
        <w:tcBorders>
          <w:top w:val="nil"/>
          <w:left w:val="nil"/>
          <w:bottom w:val="nil"/>
          <w:right w:val="single" w:sz="18" w:space="0" w:color="FFFFFF" w:themeColor="lt1"/>
          <w:insideH w:val="nil"/>
          <w:insideV w:val="nil"/>
        </w:tcBorders>
        <w:shd w:val="clear" w:color="auto" w:fill="E46C0A" w:themeFill="accent6" w:themeFillShade="bf"/>
      </w:tcPr>
    </w:tblStylePr>
    <w:tblStylePr w:type="lastCol">
      <w:tblPr/>
      <w:tcPr>
        <w:tcBorders>
          <w:top w:val="nil"/>
          <w:left w:val="single" w:sz="18" w:space="0" w:color="FFFFFF" w:themeColor="lt1"/>
          <w:bottom w:val="nil"/>
          <w:right w:val="nil"/>
          <w:insideH w:val="nil"/>
          <w:insideV w:val="nil"/>
        </w:tcBorders>
        <w:shd w:val="clear" w:color="auto" w:fill="E46C0A" w:themeFill="accent6" w:themeFillShade="bf"/>
      </w:tcPr>
    </w:tblStylePr>
    <w:tblStylePr w:type="band1Vert">
      <w:tblPr/>
      <w:tcPr>
        <w:tcBorders>
          <w:top w:val="nil"/>
          <w:left w:val="nil"/>
          <w:bottom w:val="nil"/>
          <w:right w:val="nil"/>
          <w:insideH w:val="nil"/>
          <w:insideV w:val="nil"/>
        </w:tcBorders>
        <w:shd w:val="clear" w:color="auto" w:fill="E46C0A" w:themeFill="accent6" w:themeFillShade="bf"/>
      </w:tcPr>
    </w:tblStylePr>
    <w:tblStylePr w:type="band1Horz">
      <w:tblPr/>
      <w:tcPr>
        <w:tcBorders>
          <w:top w:val="nil"/>
          <w:left w:val="nil"/>
          <w:bottom w:val="nil"/>
          <w:right w:val="nil"/>
          <w:insideH w:val="nil"/>
          <w:insideV w:val="nil"/>
        </w:tcBorders>
        <w:shd w:val="clear" w:color="auto" w:fill="E46C0A" w:themeFill="accent6" w:themeFillShade="bf"/>
      </w:tcPr>
    </w:tblStylePr>
  </w:style>
  <w:style w:type="table" w:styleId="ColorfulShading">
    <w:name w:val="Colorful Shading"/>
    <w:uiPriority w:val="71"/>
    <w:basedOn w:val="TableNormal"/>
    <w:pPr>
      <w:spacing w:after="0" w:line="240" w:lineRule="auto"/>
    </w:pPr>
    <w:rPr>
      <w:color w:val="000000"/>
    </w:rPr>
    <w:tblPr>
      <w:tblInd w:w="0" w:type="dxa"/>
      <w:tblBorders>
        <w:top w:val="single" w:sz="24" w:space="0" w:color="C0504D" w:themeColor="accent2"/>
        <w:left w:val="single" w:sz="4" w:space="0" w:color="000000" w:themeColor="dk1"/>
        <w:bottom w:val="single" w:sz="4" w:space="0" w:color="000000" w:themeColor="dk1"/>
        <w:right w:val="single" w:sz="4" w:space="0" w:color="000000" w:themeColor="dk1"/>
        <w:insideH w:val="single" w:sz="4" w:space="0" w:color="FFFFFF" w:themeColor="lt1"/>
        <w:insideV w:val="single" w:sz="4" w:space="0" w:color="FFFFFF" w:themeColor="lt1"/>
      </w:tblBorders>
      <w:tblCellMar>
        <w:top w:w="0" w:type="dxa"/>
        <w:left w:w="108" w:type="dxa"/>
        <w:bottom w:w="0" w:type="dxa"/>
        <w:right w:w="108" w:type="dxa"/>
      </w:tblCellMar>
      <w:tblStyleColBandSize w:val="1"/>
      <w:tblStyleRowBandSize w:val="1"/>
    </w:tblPr>
    <w:tcPr>
      <w:shd w:val="clear" w:color="auto" w:fill="E5E5E5" w:themeFill="dk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lt1"/>
      </w:tcPr>
    </w:tblStylePr>
    <w:tblStylePr w:type="lastRow">
      <w:rPr>
        <w:b/>
        <w:bCs/>
        <w:color w:val="FFFFFF"/>
      </w:rPr>
      <w:tblPr/>
      <w:tcPr>
        <w:tcBorders>
          <w:top w:val="single" w:sz="6" w:space="0" w:color="FFFFFF" w:themeColor="lt1"/>
        </w:tcBorders>
        <w:shd w:val="clear" w:color="auto" w:fill="000000" w:themeFill="dk1" w:themeFillShade="99"/>
      </w:tcPr>
    </w:tblStylePr>
    <w:tblStylePr w:type="firstCol">
      <w:rPr>
        <w:color w:val="FFFFFF"/>
      </w:rPr>
      <w:tblPr/>
      <w:tcPr>
        <w:tcBorders>
          <w:top w:val="nil"/>
          <w:left w:val="nil"/>
          <w:bottom w:val="nil"/>
          <w:right w:val="nil"/>
          <w:insideH w:val="single" w:sz="4" w:space="0" w:color="000000" w:themeColor="dk1" w:themeShade="99"/>
          <w:insideV w:val="nil"/>
        </w:tcBorders>
        <w:shd w:val="clear" w:color="auto" w:fill="000000" w:themeFill="dk1" w:themeFillShade="99"/>
      </w:tcPr>
    </w:tblStylePr>
    <w:tblStylePr w:type="lastCol">
      <w:rPr>
        <w:color w:val="FFFFFF"/>
      </w:rPr>
      <w:tblPr/>
      <w:tcPr>
        <w:tcBorders>
          <w:top w:val="nil"/>
          <w:left w:val="nil"/>
          <w:bottom w:val="nil"/>
          <w:right w:val="nil"/>
          <w:insideH w:val="nil"/>
          <w:insideV w:val="nil"/>
        </w:tcBorders>
        <w:shd w:val="clear" w:color="auto" w:fill="000000" w:themeFill="dk1" w:themeFillShade="bf"/>
      </w:tcPr>
    </w:tblStylePr>
    <w:tblStylePr w:type="band1Vert">
      <w:tblPr/>
      <w:tcPr>
        <w:shd w:val="clear" w:color="auto" w:fill="989898" w:themeFill="dk1" w:themeFillTint="66"/>
      </w:tcPr>
    </w:tblStylePr>
    <w:tblStylePr w:type="band1Horz">
      <w:tblPr/>
      <w:tcPr>
        <w:shd w:val="clear" w:color="auto" w:fill="7F7F7F" w:themeFill="dk1" w:themeFillTint="7f"/>
      </w:tcPr>
    </w:tblStylePr>
    <w:tblStylePr w:type="neCell">
      <w:rPr>
        <w:color w:val="000000"/>
      </w:rPr>
    </w:tblStylePr>
    <w:tblStylePr w:type="nwCell">
      <w:rPr>
        <w:color w:val="000000"/>
      </w:rPr>
    </w:tblStylePr>
  </w:style>
  <w:style w:type="table" w:styleId="ColorfulShading-Accent1">
    <w:name w:val="Colorful Shading Accent 1"/>
    <w:uiPriority w:val="71"/>
    <w:basedOn w:val="TableNormal"/>
    <w:pPr>
      <w:spacing w:after="0" w:line="240" w:lineRule="auto"/>
    </w:pPr>
    <w:rPr>
      <w:color w:val="000000"/>
    </w:rPr>
    <w:tblPr>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lt1"/>
        <w:insideV w:val="single" w:sz="4" w:space="0" w:color="FFFFFF" w:themeColor="lt1"/>
      </w:tblBorders>
      <w:tblCellMar>
        <w:top w:w="0" w:type="dxa"/>
        <w:left w:w="108" w:type="dxa"/>
        <w:bottom w:w="0" w:type="dxa"/>
        <w:right w:w="108" w:type="dxa"/>
      </w:tblCellMar>
      <w:tblStyleColBandSize w:val="1"/>
      <w:tblStyleRowBandSize w:val="1"/>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lt1"/>
      </w:tcPr>
    </w:tblStylePr>
    <w:tblStylePr w:type="lastRow">
      <w:rPr>
        <w:b/>
        <w:bCs/>
        <w:color w:val="FFFFFF"/>
      </w:rPr>
      <w:tblPr/>
      <w:tcPr>
        <w:tcBorders>
          <w:top w:val="single" w:sz="6" w:space="0" w:color="FFFFFF" w:themeColor="lt1"/>
        </w:tcBorders>
        <w:shd w:val="clear" w:color="auto" w:fill="2C4D75" w:themeFill="accent1" w:themeFillShade="99"/>
      </w:tcPr>
    </w:tblStylePr>
    <w:tblStylePr w:type="firstCol">
      <w:rPr>
        <w:color w:val="FFFFFF"/>
      </w:rPr>
      <w:tblPr/>
      <w:tcPr>
        <w:tcBorders>
          <w:top w:val="nil"/>
          <w:left w:val="nil"/>
          <w:bottom w:val="nil"/>
          <w:right w:val="nil"/>
          <w:insideH w:val="single" w:sz="4" w:space="0" w:color="2C4D75" w:themeColor="accent1" w:themeShade="99"/>
          <w:insideV w:val="nil"/>
        </w:tcBorders>
        <w:shd w:val="clear" w:color="auto" w:fill="2C4D75" w:themeFill="accent1" w:themeFillShade="99"/>
      </w:tcPr>
    </w:tblStylePr>
    <w:tblStylePr w:type="lastCol">
      <w:rPr>
        <w:color w:val="FFFFFF"/>
      </w:rPr>
      <w:tblPr/>
      <w:tcPr>
        <w:tcBorders>
          <w:top w:val="nil"/>
          <w:left w:val="nil"/>
          <w:bottom w:val="nil"/>
          <w:right w:val="nil"/>
          <w:insideH w:val="nil"/>
          <w:insideV w:val="nil"/>
        </w:tcBorders>
        <w:shd w:val="clear" w:color="auto" w:fill="2C4D75"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rPr>
    </w:tblStylePr>
    <w:tblStylePr w:type="nwCell">
      <w:rPr>
        <w:color w:val="000000"/>
      </w:rPr>
    </w:tblStylePr>
  </w:style>
  <w:style w:type="table" w:styleId="ColorfulShading-Accent2">
    <w:name w:val="Colorful Shading Accent 2"/>
    <w:uiPriority w:val="71"/>
    <w:basedOn w:val="TableNormal"/>
    <w:pPr>
      <w:spacing w:after="0" w:line="240" w:lineRule="auto"/>
    </w:pPr>
    <w:rPr>
      <w:color w:val="000000"/>
    </w:rPr>
    <w:tblPr>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lt1"/>
        <w:insideV w:val="single" w:sz="4" w:space="0" w:color="FFFFFF" w:themeColor="lt1"/>
      </w:tblBorders>
      <w:tblCellMar>
        <w:top w:w="0" w:type="dxa"/>
        <w:left w:w="108" w:type="dxa"/>
        <w:bottom w:w="0" w:type="dxa"/>
        <w:right w:w="108" w:type="dxa"/>
      </w:tblCellMar>
      <w:tblStyleColBandSize w:val="1"/>
      <w:tblStyleRowBandSize w:val="1"/>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lt1"/>
      </w:tcPr>
    </w:tblStylePr>
    <w:tblStylePr w:type="lastRow">
      <w:rPr>
        <w:b/>
        <w:bCs/>
        <w:color w:val="FFFFFF"/>
      </w:rPr>
      <w:tblPr/>
      <w:tcPr>
        <w:tcBorders>
          <w:top w:val="single" w:sz="6" w:space="0" w:color="FFFFFF" w:themeColor="lt1"/>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9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uiPriority w:val="71"/>
    <w:basedOn w:val="TableNormal"/>
    <w:pPr>
      <w:spacing w:after="0" w:line="240" w:lineRule="auto"/>
    </w:pPr>
    <w:rPr>
      <w:color w:val="000000"/>
    </w:rPr>
    <w:tblPr>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lt1"/>
        <w:insideV w:val="single" w:sz="4" w:space="0" w:color="FFFFFF" w:themeColor="lt1"/>
      </w:tblBorders>
      <w:tblCellMar>
        <w:top w:w="0" w:type="dxa"/>
        <w:left w:w="108" w:type="dxa"/>
        <w:bottom w:w="0" w:type="dxa"/>
        <w:right w:w="108" w:type="dxa"/>
      </w:tblCellMar>
      <w:tblStyleColBandSize w:val="1"/>
      <w:tblStyleRowBandSize w:val="1"/>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lt1"/>
      </w:tcPr>
    </w:tblStylePr>
    <w:tblStylePr w:type="lastRow">
      <w:rPr>
        <w:b/>
        <w:bCs/>
        <w:color w:val="FFFFFF"/>
      </w:rPr>
      <w:tblPr/>
      <w:tcPr>
        <w:tcBorders>
          <w:top w:val="single" w:sz="6" w:space="0" w:color="FFFFFF" w:themeColor="lt1"/>
        </w:tcBorders>
        <w:shd w:val="clear" w:color="auto" w:fill="5F7530" w:themeFill="accent3" w:themeFillShade="99"/>
      </w:tcPr>
    </w:tblStylePr>
    <w:tblStylePr w:type="firstCol">
      <w:rPr>
        <w:color w:val="FFFFFF"/>
      </w:rPr>
      <w:tblPr/>
      <w:tcPr>
        <w:tcBorders>
          <w:top w:val="nil"/>
          <w:left w:val="nil"/>
          <w:bottom w:val="nil"/>
          <w:right w:val="nil"/>
          <w:insideH w:val="single" w:sz="4" w:space="0" w:color="5F7530" w:themeColor="accent3" w:themeShade="99"/>
          <w:insideV w:val="nil"/>
        </w:tcBorders>
        <w:shd w:val="clear" w:color="auto" w:fill="5F7530" w:themeFill="accent3" w:themeFillShade="99"/>
      </w:tcPr>
    </w:tblStylePr>
    <w:tblStylePr w:type="lastCol">
      <w:rPr>
        <w:color w:val="FFFFFF"/>
      </w:rPr>
      <w:tblPr/>
      <w:tcPr>
        <w:tcBorders>
          <w:top w:val="nil"/>
          <w:left w:val="nil"/>
          <w:bottom w:val="nil"/>
          <w:right w:val="nil"/>
          <w:insideH w:val="nil"/>
          <w:insideV w:val="nil"/>
        </w:tcBorders>
        <w:shd w:val="clear" w:color="auto" w:fill="5F7530" w:themeFill="accent3" w:themeFillShade="99"/>
      </w:tcPr>
    </w:tblStylePr>
    <w:tblStylePr w:type="band1Vert">
      <w:tblPr/>
      <w:tcPr>
        <w:shd w:val="clear" w:color="auto" w:fill="D7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uiPriority w:val="71"/>
    <w:basedOn w:val="TableNormal"/>
    <w:pPr>
      <w:spacing w:after="0" w:line="240" w:lineRule="auto"/>
    </w:pPr>
    <w:rPr>
      <w:color w:val="000000"/>
    </w:rPr>
    <w:tblPr>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lt1"/>
        <w:insideV w:val="single" w:sz="4" w:space="0" w:color="FFFFFF" w:themeColor="lt1"/>
      </w:tblBorders>
      <w:tblCellMar>
        <w:top w:w="0" w:type="dxa"/>
        <w:left w:w="108" w:type="dxa"/>
        <w:bottom w:w="0" w:type="dxa"/>
        <w:right w:w="108" w:type="dxa"/>
      </w:tblCellMar>
      <w:tblStyleColBandSize w:val="1"/>
      <w:tblStyleRowBandSize w:val="1"/>
    </w:tblPr>
    <w:tcPr>
      <w:shd w:val="clear" w:color="auto" w:fill="F2EFF5"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lt1"/>
      </w:tcPr>
    </w:tblStylePr>
    <w:tblStylePr w:type="lastRow">
      <w:rPr>
        <w:b/>
        <w:bCs/>
        <w:color w:val="FFFFFF"/>
      </w:rPr>
      <w:tblPr/>
      <w:tcPr>
        <w:tcBorders>
          <w:top w:val="single" w:sz="6" w:space="0" w:color="FFFFFF" w:themeColor="lt1"/>
        </w:tcBorders>
        <w:shd w:val="clear" w:color="auto" w:fill="4D3B62" w:themeFill="accent4" w:themeFillShade="99"/>
      </w:tcPr>
    </w:tblStylePr>
    <w:tblStylePr w:type="firstCol">
      <w:rPr>
        <w:color w:val="FFFFFF"/>
      </w:rPr>
      <w:tblPr/>
      <w:tcPr>
        <w:tcBorders>
          <w:top w:val="nil"/>
          <w:left w:val="nil"/>
          <w:bottom w:val="nil"/>
          <w:right w:val="nil"/>
          <w:insideH w:val="single" w:sz="4" w:space="0" w:color="4D3B62" w:themeColor="accent4" w:themeShade="99"/>
          <w:insideV w:val="nil"/>
        </w:tcBorders>
        <w:shd w:val="clear" w:color="auto" w:fill="4D3B62" w:themeFill="accent4" w:themeFillShade="99"/>
      </w:tcPr>
    </w:tblStylePr>
    <w:tblStylePr w:type="lastCol">
      <w:rPr>
        <w:color w:val="FFFFFF"/>
      </w:rPr>
      <w:tblPr/>
      <w:tcPr>
        <w:tcBorders>
          <w:top w:val="nil"/>
          <w:left w:val="nil"/>
          <w:bottom w:val="nil"/>
          <w:right w:val="nil"/>
          <w:insideH w:val="nil"/>
          <w:insideV w:val="nil"/>
        </w:tcBorders>
        <w:shd w:val="clear" w:color="auto" w:fill="4D3B62" w:themeFill="accent4" w:themeFillShade="99"/>
      </w:tcPr>
    </w:tblStylePr>
    <w:tblStylePr w:type="band1Vert">
      <w:tblPr/>
      <w:tcPr>
        <w:shd w:val="clear" w:color="auto" w:fill="CCC1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uiPriority w:val="71"/>
    <w:basedOn w:val="TableNormal"/>
    <w:pPr>
      <w:spacing w:after="0" w:line="240" w:lineRule="auto"/>
    </w:pPr>
    <w:rPr>
      <w:color w:val="000000"/>
    </w:rPr>
    <w:tblPr>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lt1"/>
        <w:insideV w:val="single" w:sz="4" w:space="0" w:color="FFFFFF" w:themeColor="lt1"/>
      </w:tblBorders>
      <w:tblCellMar>
        <w:top w:w="0" w:type="dxa"/>
        <w:left w:w="108" w:type="dxa"/>
        <w:bottom w:w="0" w:type="dxa"/>
        <w:right w:w="108" w:type="dxa"/>
      </w:tblCellMar>
      <w:tblStyleColBandSize w:val="1"/>
      <w:tblStyleRowBandSize w:val="1"/>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lt1"/>
      </w:tcPr>
    </w:tblStylePr>
    <w:tblStylePr w:type="lastRow">
      <w:rPr>
        <w:b/>
        <w:bCs/>
        <w:color w:val="FFFFFF"/>
      </w:rPr>
      <w:tblPr/>
      <w:tcPr>
        <w:tcBorders>
          <w:top w:val="single" w:sz="6" w:space="0" w:color="FFFFFF" w:themeColor="lt1"/>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7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uiPriority w:val="71"/>
    <w:basedOn w:val="TableNormal"/>
    <w:pPr>
      <w:spacing w:after="0" w:line="240" w:lineRule="auto"/>
    </w:pPr>
    <w:rPr>
      <w:color w:val="000000"/>
    </w:rPr>
    <w:tblPr>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lt1"/>
        <w:insideV w:val="single" w:sz="4" w:space="0" w:color="FFFFFF" w:themeColor="lt1"/>
      </w:tblBorders>
      <w:tblCellMar>
        <w:top w:w="0" w:type="dxa"/>
        <w:left w:w="108" w:type="dxa"/>
        <w:bottom w:w="0" w:type="dxa"/>
        <w:right w:w="108" w:type="dxa"/>
      </w:tblCellMar>
      <w:tblStyleColBandSize w:val="1"/>
      <w:tblStyleRowBandSize w:val="1"/>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lt1"/>
      </w:tcPr>
    </w:tblStylePr>
    <w:tblStylePr w:type="lastRow">
      <w:rPr>
        <w:b/>
        <w:bCs/>
        <w:color w:val="FFFFFF"/>
      </w:rPr>
      <w:tblPr/>
      <w:tcPr>
        <w:tcBorders>
          <w:top w:val="single" w:sz="6" w:space="0" w:color="FFFFFF" w:themeColor="lt1"/>
        </w:tcBorders>
        <w:shd w:val="clear" w:color="auto" w:fill="B65708" w:themeFill="accent6" w:themeFillShade="99"/>
      </w:tcPr>
    </w:tblStylePr>
    <w:tblStylePr w:type="firstCol">
      <w:rPr>
        <w:color w:val="FFFFFF"/>
      </w:rPr>
      <w:tblPr/>
      <w:tcPr>
        <w:tcBorders>
          <w:top w:val="nil"/>
          <w:left w:val="nil"/>
          <w:bottom w:val="nil"/>
          <w:right w:val="nil"/>
          <w:insideH w:val="single" w:sz="4" w:space="0" w:color="B65708" w:themeColor="accent6" w:themeShade="99"/>
          <w:insideV w:val="nil"/>
        </w:tcBorders>
        <w:shd w:val="clear" w:color="auto" w:fill="B65708" w:themeFill="accent6" w:themeFillShade="99"/>
      </w:tcPr>
    </w:tblStylePr>
    <w:tblStylePr w:type="lastCol">
      <w:rPr>
        <w:color w:val="FFFFFF"/>
      </w:rPr>
      <w:tblPr/>
      <w:tcPr>
        <w:tcBorders>
          <w:top w:val="nil"/>
          <w:left w:val="nil"/>
          <w:bottom w:val="nil"/>
          <w:right w:val="nil"/>
          <w:insideH w:val="nil"/>
          <w:insideV w:val="nil"/>
        </w:tcBorders>
        <w:shd w:val="clear" w:color="auto" w:fill="B65708" w:themeFill="accent6" w:themeFillShade="99"/>
      </w:tcPr>
    </w:tblStylePr>
    <w:tblStylePr w:type="band1Vert">
      <w:tblPr/>
      <w:tcPr>
        <w:shd w:val="clear" w:color="auto" w:fill="FBD5B5"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E5E5E5" w:themeFill="dk1" w:themeFillTint="19"/>
    </w:tcPr>
    <w:tblStylePr w:type="firstRow">
      <w:rPr>
        <w:b/>
        <w:bCs/>
        <w:color w:val="FFFFFF"/>
      </w:rPr>
      <w:tblPr/>
      <w:tcPr>
        <w:tcBorders>
          <w:bottom w:val="single" w:sz="12" w:space="0" w:color="FFFFFF" w:themeColor="lt1"/>
        </w:tcBorders>
        <w:shd w:val="clear" w:color="auto" w:fill="9F3B38" w:themeFill="accent2" w:themeFillShade="cc"/>
      </w:tcPr>
    </w:tblStylePr>
    <w:tblStylePr w:type="lastRow">
      <w:rPr>
        <w:b/>
        <w:bCs/>
        <w:color w:val="9F3B38"/>
      </w:rPr>
      <w:tblPr/>
      <w:tcPr>
        <w:tcBorders>
          <w:top w:val="single" w:sz="12" w:space="0" w:color="000000" w:themeColor="dk1"/>
        </w:tcBorders>
        <w:shd w:val="clear" w:color="auto" w:fill="FFFFFF" w:themeFill="lt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dk1" w:themeFillTint="3f"/>
      </w:tcPr>
    </w:tblStylePr>
    <w:tblStylePr w:type="band1Horz">
      <w:tblPr/>
      <w:tcPr>
        <w:shd w:val="clear" w:color="auto" w:fill="CBCBCB" w:themeFill="dk1" w:themeFillTint="33"/>
      </w:tcPr>
    </w:tblStylePr>
  </w:style>
  <w:style w:type="table" w:styleId="ColorfulList-Accent1">
    <w:name w:val="Colorful List Accent 1"/>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EDF2F8" w:themeFill="accent1" w:themeFillTint="19"/>
    </w:tcPr>
    <w:tblStylePr w:type="firstRow">
      <w:rPr>
        <w:b/>
        <w:bCs/>
        <w:color w:val="FFFFFF"/>
      </w:rPr>
      <w:tblPr/>
      <w:tcPr>
        <w:tcBorders>
          <w:bottom w:val="single" w:sz="12" w:space="0" w:color="FFFFFF" w:themeColor="lt1"/>
        </w:tcBorders>
        <w:shd w:val="clear" w:color="auto" w:fill="9F3B38" w:themeFill="accent2" w:themeFillShade="cc"/>
      </w:tcPr>
    </w:tblStylePr>
    <w:tblStylePr w:type="lastRow">
      <w:rPr>
        <w:b/>
        <w:bCs/>
        <w:color w:val="9F3B38"/>
      </w:rPr>
      <w:tblPr/>
      <w:tcPr>
        <w:tcBorders>
          <w:top w:val="single" w:sz="12" w:space="0" w:color="000000" w:themeColor="dk1"/>
        </w:tcBorders>
        <w:shd w:val="clear" w:color="auto" w:fill="FFFFFF" w:themeFill="lt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8EDED" w:themeFill="accent2" w:themeFillTint="19"/>
    </w:tcPr>
    <w:tblStylePr w:type="firstRow">
      <w:rPr>
        <w:b/>
        <w:bCs/>
        <w:color w:val="FFFFFF"/>
      </w:rPr>
      <w:tblPr/>
      <w:tcPr>
        <w:tcBorders>
          <w:bottom w:val="single" w:sz="12" w:space="0" w:color="FFFFFF" w:themeColor="lt1"/>
        </w:tcBorders>
        <w:shd w:val="clear" w:color="auto" w:fill="9F3B38" w:themeFill="accent2" w:themeFillShade="cc"/>
      </w:tcPr>
    </w:tblStylePr>
    <w:tblStylePr w:type="lastRow">
      <w:rPr>
        <w:b/>
        <w:bCs/>
        <w:color w:val="9F3B38"/>
      </w:rPr>
      <w:tblPr/>
      <w:tcPr>
        <w:tcBorders>
          <w:top w:val="single" w:sz="12" w:space="0" w:color="000000" w:themeColor="dk1"/>
        </w:tcBorders>
        <w:shd w:val="clear" w:color="auto" w:fill="FFFFFF" w:themeFill="lt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ColorfulList-Accent3">
    <w:name w:val="Colorful List Accent 3"/>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5F8EE" w:themeFill="accent3" w:themeFillTint="19"/>
    </w:tcPr>
    <w:tblStylePr w:type="firstRow">
      <w:rPr>
        <w:b/>
        <w:bCs/>
        <w:color w:val="FFFFFF"/>
      </w:rPr>
      <w:tblPr/>
      <w:tcPr>
        <w:tcBorders>
          <w:bottom w:val="single" w:sz="12" w:space="0" w:color="FFFFFF" w:themeColor="lt1"/>
        </w:tcBorders>
        <w:shd w:val="clear" w:color="auto" w:fill="664F83" w:themeFill="accent4" w:themeFillShade="cc"/>
      </w:tcPr>
    </w:tblStylePr>
    <w:tblStylePr w:type="lastRow">
      <w:rPr>
        <w:b/>
        <w:bCs/>
        <w:color w:val="664F83"/>
      </w:rPr>
      <w:tblPr/>
      <w:tcPr>
        <w:tcBorders>
          <w:top w:val="single" w:sz="12" w:space="0" w:color="000000" w:themeColor="dk1"/>
        </w:tcBorders>
        <w:shd w:val="clear" w:color="auto" w:fill="FFFFFF" w:themeFill="lt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BF1DD" w:themeFill="accent3" w:themeFillTint="33"/>
      </w:tcPr>
    </w:tblStylePr>
  </w:style>
  <w:style w:type="table" w:styleId="ColorfulList-Accent4">
    <w:name w:val="Colorful List Accent 4"/>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2EFF5" w:themeFill="accent4" w:themeFillTint="19"/>
    </w:tcPr>
    <w:tblStylePr w:type="firstRow">
      <w:rPr>
        <w:b/>
        <w:bCs/>
        <w:color w:val="FFFFFF"/>
      </w:rPr>
      <w:tblPr/>
      <w:tcPr>
        <w:tcBorders>
          <w:bottom w:val="single" w:sz="12" w:space="0" w:color="FFFFFF" w:themeColor="lt1"/>
        </w:tcBorders>
        <w:shd w:val="clear" w:color="auto" w:fill="7E9D40" w:themeFill="accent3" w:themeFillShade="cc"/>
      </w:tcPr>
    </w:tblStylePr>
    <w:tblStylePr w:type="lastRow">
      <w:rPr>
        <w:b/>
        <w:bCs/>
        <w:color w:val="7E9D40"/>
      </w:rPr>
      <w:tblPr/>
      <w:tcPr>
        <w:tcBorders>
          <w:top w:val="single" w:sz="12" w:space="0" w:color="000000" w:themeColor="dk1"/>
        </w:tcBorders>
        <w:shd w:val="clear" w:color="auto" w:fill="FFFFFF" w:themeFill="lt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E0EC" w:themeFill="accent4" w:themeFillTint="33"/>
      </w:tcPr>
    </w:tblStylePr>
  </w:style>
  <w:style w:type="table" w:styleId="ColorfulList-Accent5">
    <w:name w:val="Colorful List Accent 5"/>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EDF6F9" w:themeFill="accent5" w:themeFillTint="19"/>
    </w:tcPr>
    <w:tblStylePr w:type="firstRow">
      <w:rPr>
        <w:b/>
        <w:bCs/>
        <w:color w:val="FFFFFF"/>
      </w:rPr>
      <w:tblPr/>
      <w:tcPr>
        <w:tcBorders>
          <w:bottom w:val="single" w:sz="12" w:space="0" w:color="FFFFFF" w:themeColor="lt1"/>
        </w:tcBorders>
        <w:shd w:val="clear" w:color="auto" w:fill="F3740B" w:themeFill="accent6" w:themeFillShade="cc"/>
      </w:tcPr>
    </w:tblStylePr>
    <w:tblStylePr w:type="lastRow">
      <w:rPr>
        <w:b/>
        <w:bCs/>
        <w:color w:val="F3740B"/>
      </w:rPr>
      <w:tblPr/>
      <w:tcPr>
        <w:tcBorders>
          <w:top w:val="single" w:sz="12" w:space="0" w:color="000000" w:themeColor="dk1"/>
        </w:tcBorders>
        <w:shd w:val="clear" w:color="auto" w:fill="FFFFFF" w:themeFill="lt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ColorfulList-Accent6">
    <w:name w:val="Colorful List Accent 6"/>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EF4EC" w:themeFill="accent6" w:themeFillTint="19"/>
    </w:tcPr>
    <w:tblStylePr w:type="firstRow">
      <w:rPr>
        <w:b/>
        <w:bCs/>
        <w:color w:val="FFFFFF"/>
      </w:rPr>
      <w:tblPr/>
      <w:tcPr>
        <w:tcBorders>
          <w:bottom w:val="single" w:sz="12" w:space="0" w:color="FFFFFF" w:themeColor="lt1"/>
        </w:tcBorders>
        <w:shd w:val="clear" w:color="auto" w:fill="358EA6" w:themeFill="accent5" w:themeFillShade="cc"/>
      </w:tcPr>
    </w:tblStylePr>
    <w:tblStylePr w:type="lastRow">
      <w:rPr>
        <w:b/>
        <w:bCs/>
        <w:color w:val="358EA6"/>
      </w:rPr>
      <w:tblPr/>
      <w:tcPr>
        <w:tcBorders>
          <w:top w:val="single" w:sz="12" w:space="0" w:color="000000" w:themeColor="dk1"/>
        </w:tcBorders>
        <w:shd w:val="clear" w:color="auto" w:fill="FFFFFF" w:themeFill="lt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AD9" w:themeFill="accent6" w:themeFillTint="33"/>
      </w:tcPr>
    </w:tblStylePr>
  </w:style>
  <w:style w:type="table" w:styleId="ColorfulGrid">
    <w:name w:val="Colorful Grid"/>
    <w:uiPriority w:val="73"/>
    <w:basedOn w:val="TableNormal"/>
    <w:pPr>
      <w:spacing w:after="0" w:line="240" w:lineRule="auto"/>
    </w:pPr>
    <w:rPr>
      <w:color w:val="000000"/>
    </w:rPr>
    <w:tblPr>
      <w:tblInd w:w="0" w:type="dxa"/>
      <w:tblBorders>
        <w:insideH w:val="single" w:sz="4" w:space="0" w:color="FFFFFF" w:themeColor="lt1"/>
      </w:tblBorders>
      <w:tblCellMar>
        <w:top w:w="0" w:type="dxa"/>
        <w:left w:w="108" w:type="dxa"/>
        <w:bottom w:w="0" w:type="dxa"/>
        <w:right w:w="108" w:type="dxa"/>
      </w:tblCellMar>
      <w:tblStyleColBandSize w:val="1"/>
      <w:tblStyleRowBandSize w:val="1"/>
    </w:tblPr>
    <w:tcPr>
      <w:shd w:val="clear" w:color="auto" w:fill="CBCBCB" w:themeFill="dk1" w:themeFillTint="33"/>
    </w:tcPr>
    <w:tblStylePr w:type="firstRow">
      <w:rPr>
        <w:b/>
        <w:bCs/>
      </w:rPr>
      <w:tblPr/>
      <w:tcPr>
        <w:shd w:val="clear" w:color="auto" w:fill="989898" w:themeFill="dk1" w:themeFillTint="66"/>
      </w:tcPr>
    </w:tblStylePr>
    <w:tblStylePr w:type="lastRow">
      <w:rPr>
        <w:b/>
        <w:bCs/>
        <w:color w:val="000000"/>
      </w:rPr>
      <w:tblPr/>
      <w:tcPr>
        <w:shd w:val="clear" w:color="auto" w:fill="989898" w:themeFill="dk1" w:themeFillTint="66"/>
      </w:tcPr>
    </w:tblStylePr>
    <w:tblStylePr w:type="firstCol">
      <w:rPr>
        <w:color w:val="FFFFFF"/>
      </w:rPr>
      <w:tblPr/>
      <w:tcPr>
        <w:shd w:val="clear" w:color="auto" w:fill="000000" w:themeFill="dk1" w:themeFillShade="bf"/>
      </w:tcPr>
    </w:tblStylePr>
    <w:tblStylePr w:type="lastCol">
      <w:rPr>
        <w:color w:val="FFFFFF"/>
      </w:rPr>
      <w:tblPr/>
      <w:tcPr>
        <w:shd w:val="clear" w:color="auto" w:fill="000000" w:themeFill="dk1" w:themeFillShade="bf"/>
      </w:tcPr>
    </w:tblStylePr>
    <w:tblStylePr w:type="band1Vert">
      <w:tblPr/>
      <w:tcPr>
        <w:shd w:val="clear" w:color="auto" w:fill="7F7F7F" w:themeFill="dk1" w:themeFillTint="7f"/>
      </w:tcPr>
    </w:tblStylePr>
    <w:tblStylePr w:type="band1Horz">
      <w:tblPr/>
      <w:tcPr>
        <w:shd w:val="clear" w:color="auto" w:fill="7F7F7F" w:themeFill="dk1" w:themeFillTint="7f"/>
      </w:tcPr>
    </w:tblStylePr>
  </w:style>
  <w:style w:type="table" w:styleId="ColorfulGrid-Accent1">
    <w:name w:val="Colorful Grid Accent 1"/>
    <w:uiPriority w:val="73"/>
    <w:basedOn w:val="TableNormal"/>
    <w:pPr>
      <w:spacing w:after="0" w:line="240" w:lineRule="auto"/>
    </w:pPr>
    <w:rPr>
      <w:color w:val="000000"/>
    </w:rPr>
    <w:tblPr>
      <w:tblInd w:w="0" w:type="dxa"/>
      <w:tblBorders>
        <w:insideH w:val="single" w:sz="4" w:space="0" w:color="FFFFFF" w:themeColor="lt1"/>
      </w:tblBorders>
      <w:tblCellMar>
        <w:top w:w="0" w:type="dxa"/>
        <w:left w:w="108" w:type="dxa"/>
        <w:bottom w:w="0" w:type="dxa"/>
        <w:right w:w="108" w:type="dxa"/>
      </w:tblCellMar>
      <w:tblStyleColBandSize w:val="1"/>
      <w:tblStyleRowBandSize w:val="1"/>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76092" w:themeFill="accent1" w:themeFillShade="bf"/>
      </w:tcPr>
    </w:tblStylePr>
    <w:tblStylePr w:type="lastCol">
      <w:rPr>
        <w:color w:val="FFFFFF"/>
      </w:rPr>
      <w:tblPr/>
      <w:tcPr>
        <w:shd w:val="clear" w:color="auto" w:fill="376092"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ColorfulGrid-Accent2">
    <w:name w:val="Colorful Grid Accent 2"/>
    <w:uiPriority w:val="73"/>
    <w:basedOn w:val="TableNormal"/>
    <w:pPr>
      <w:spacing w:after="0" w:line="240" w:lineRule="auto"/>
    </w:pPr>
    <w:rPr>
      <w:color w:val="000000"/>
    </w:rPr>
    <w:tblPr>
      <w:tblInd w:w="0" w:type="dxa"/>
      <w:tblBorders>
        <w:insideH w:val="single" w:sz="4" w:space="0" w:color="FFFFFF" w:themeColor="lt1"/>
      </w:tblBorders>
      <w:tblCellMar>
        <w:top w:w="0" w:type="dxa"/>
        <w:left w:w="108" w:type="dxa"/>
        <w:bottom w:w="0" w:type="dxa"/>
        <w:right w:w="108" w:type="dxa"/>
      </w:tblCellMar>
      <w:tblStyleColBandSize w:val="1"/>
      <w:tblStyleRowBandSize w:val="1"/>
    </w:tblPr>
    <w:tcPr>
      <w:shd w:val="clear" w:color="auto" w:fill="F2DBDB" w:themeFill="accent2" w:themeFillTint="33"/>
    </w:tcPr>
    <w:tblStylePr w:type="firstRow">
      <w:rPr>
        <w:b/>
        <w:bCs/>
      </w:rPr>
      <w:tblPr/>
      <w:tcPr>
        <w:shd w:val="clear" w:color="auto" w:fill="E5B9B7" w:themeFill="accent2" w:themeFillTint="66"/>
      </w:tcPr>
    </w:tblStylePr>
    <w:tblStylePr w:type="lastRow">
      <w:rPr>
        <w:b/>
        <w:bCs/>
        <w:color w:val="000000"/>
      </w:rPr>
      <w:tblPr/>
      <w:tcPr>
        <w:shd w:val="clear" w:color="auto" w:fill="E5B9B7" w:themeFill="accent2" w:themeFillTint="66"/>
      </w:tcPr>
    </w:tblStylePr>
    <w:tblStylePr w:type="firstCol">
      <w:rPr>
        <w:color w:val="FFFFFF"/>
      </w:rPr>
      <w:tblPr/>
      <w:tcPr>
        <w:shd w:val="clear" w:color="auto" w:fill="953735" w:themeFill="accent2" w:themeFillShade="bf"/>
      </w:tcPr>
    </w:tblStylePr>
    <w:tblStylePr w:type="lastCol">
      <w:rPr>
        <w:color w:val="FFFFFF"/>
      </w:rPr>
      <w:tblPr/>
      <w:tcPr>
        <w:shd w:val="clear" w:color="auto" w:fill="953735"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uiPriority w:val="73"/>
    <w:basedOn w:val="TableNormal"/>
    <w:pPr>
      <w:spacing w:after="0" w:line="240" w:lineRule="auto"/>
    </w:pPr>
    <w:rPr>
      <w:color w:val="000000"/>
    </w:rPr>
    <w:tblPr>
      <w:tblInd w:w="0" w:type="dxa"/>
      <w:tblBorders>
        <w:insideH w:val="single" w:sz="4" w:space="0" w:color="FFFFFF" w:themeColor="lt1"/>
      </w:tblBorders>
      <w:tblCellMar>
        <w:top w:w="0" w:type="dxa"/>
        <w:left w:w="108" w:type="dxa"/>
        <w:bottom w:w="0" w:type="dxa"/>
        <w:right w:w="108" w:type="dxa"/>
      </w:tblCellMar>
      <w:tblStyleColBandSize w:val="1"/>
      <w:tblStyleRowBandSize w:val="1"/>
    </w:tblPr>
    <w:tcPr>
      <w:shd w:val="clear" w:color="auto" w:fill="EBF1DD" w:themeFill="accent3" w:themeFillTint="33"/>
    </w:tcPr>
    <w:tblStylePr w:type="firstRow">
      <w:rPr>
        <w:b/>
        <w:bCs/>
      </w:rPr>
      <w:tblPr/>
      <w:tcPr>
        <w:shd w:val="clear" w:color="auto" w:fill="D7E3BC" w:themeFill="accent3" w:themeFillTint="66"/>
      </w:tcPr>
    </w:tblStylePr>
    <w:tblStylePr w:type="lastRow">
      <w:rPr>
        <w:b/>
        <w:bCs/>
        <w:color w:val="000000"/>
      </w:rPr>
      <w:tblPr/>
      <w:tcPr>
        <w:shd w:val="clear" w:color="auto" w:fill="D7E3BC" w:themeFill="accent3" w:themeFillTint="66"/>
      </w:tcPr>
    </w:tblStylePr>
    <w:tblStylePr w:type="firstCol">
      <w:rPr>
        <w:color w:val="FFFFFF"/>
      </w:rPr>
      <w:tblPr/>
      <w:tcPr>
        <w:shd w:val="clear" w:color="auto" w:fill="76933C" w:themeFill="accent3" w:themeFillShade="bf"/>
      </w:tcPr>
    </w:tblStylePr>
    <w:tblStylePr w:type="lastCol">
      <w:rPr>
        <w:color w:val="FFFFFF"/>
      </w:rPr>
      <w:tblPr/>
      <w:tcPr>
        <w:shd w:val="clear" w:color="auto" w:fill="7693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uiPriority w:val="73"/>
    <w:basedOn w:val="TableNormal"/>
    <w:pPr>
      <w:spacing w:after="0" w:line="240" w:lineRule="auto"/>
    </w:pPr>
    <w:rPr>
      <w:color w:val="000000"/>
    </w:rPr>
    <w:tblPr>
      <w:tblInd w:w="0" w:type="dxa"/>
      <w:tblBorders>
        <w:insideH w:val="single" w:sz="4" w:space="0" w:color="FFFFFF" w:themeColor="lt1"/>
      </w:tblBorders>
      <w:tblCellMar>
        <w:top w:w="0" w:type="dxa"/>
        <w:left w:w="108" w:type="dxa"/>
        <w:bottom w:w="0" w:type="dxa"/>
        <w:right w:w="108" w:type="dxa"/>
      </w:tblCellMar>
      <w:tblStyleColBandSize w:val="1"/>
      <w:tblStyleRowBandSize w:val="1"/>
    </w:tblPr>
    <w:tcPr>
      <w:shd w:val="clear" w:color="auto" w:fill="E5E0EC" w:themeFill="accent4" w:themeFillTint="33"/>
    </w:tcPr>
    <w:tblStylePr w:type="firstRow">
      <w:rPr>
        <w:b/>
        <w:bCs/>
      </w:rPr>
      <w:tblPr/>
      <w:tcPr>
        <w:shd w:val="clear" w:color="auto" w:fill="CCC1D9" w:themeFill="accent4" w:themeFillTint="66"/>
      </w:tcPr>
    </w:tblStylePr>
    <w:tblStylePr w:type="lastRow">
      <w:rPr>
        <w:b/>
        <w:bCs/>
        <w:color w:val="000000"/>
      </w:rPr>
      <w:tblPr/>
      <w:tcPr>
        <w:shd w:val="clear" w:color="auto" w:fill="CCC1D9" w:themeFill="accent4" w:themeFillTint="66"/>
      </w:tcPr>
    </w:tblStylePr>
    <w:tblStylePr w:type="firstCol">
      <w:rPr>
        <w:color w:val="FFFFFF"/>
      </w:rPr>
      <w:tblPr/>
      <w:tcPr>
        <w:shd w:val="clear" w:color="auto" w:fill="604A7B" w:themeFill="accent4" w:themeFillShade="bf"/>
      </w:tcPr>
    </w:tblStylePr>
    <w:tblStylePr w:type="lastCol">
      <w:rPr>
        <w:color w:val="FFFFFF"/>
      </w:rPr>
      <w:tblPr/>
      <w:tcPr>
        <w:shd w:val="clear" w:color="auto" w:fill="604A7B"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uiPriority w:val="73"/>
    <w:basedOn w:val="TableNormal"/>
    <w:pPr>
      <w:spacing w:after="0" w:line="240" w:lineRule="auto"/>
    </w:pPr>
    <w:rPr>
      <w:color w:val="000000"/>
    </w:rPr>
    <w:tblPr>
      <w:tblInd w:w="0" w:type="dxa"/>
      <w:tblBorders>
        <w:insideH w:val="single" w:sz="4" w:space="0" w:color="FFFFFF" w:themeColor="lt1"/>
      </w:tblBorders>
      <w:tblCellMar>
        <w:top w:w="0" w:type="dxa"/>
        <w:left w:w="108" w:type="dxa"/>
        <w:bottom w:w="0" w:type="dxa"/>
        <w:right w:w="108" w:type="dxa"/>
      </w:tblCellMar>
      <w:tblStyleColBandSize w:val="1"/>
      <w:tblStyleRowBandSize w:val="1"/>
    </w:tblPr>
    <w:tcPr>
      <w:shd w:val="clear" w:color="auto" w:fill="DAEEF3" w:themeFill="accent5" w:themeFillTint="33"/>
    </w:tcPr>
    <w:tblStylePr w:type="firstRow">
      <w:rPr>
        <w:b/>
        <w:bCs/>
      </w:rPr>
      <w:tblPr/>
      <w:tcPr>
        <w:shd w:val="clear" w:color="auto" w:fill="B7DDE8" w:themeFill="accent5" w:themeFillTint="66"/>
      </w:tcPr>
    </w:tblStylePr>
    <w:tblStylePr w:type="lastRow">
      <w:rPr>
        <w:b/>
        <w:bCs/>
        <w:color w:val="000000"/>
      </w:rPr>
      <w:tblPr/>
      <w:tcPr>
        <w:shd w:val="clear" w:color="auto" w:fill="B7DDE8" w:themeFill="accent5" w:themeFillTint="66"/>
      </w:tcPr>
    </w:tblStylePr>
    <w:tblStylePr w:type="firstCol">
      <w:rPr>
        <w:color w:val="FFFFFF"/>
      </w:rPr>
      <w:tblPr/>
      <w:tcPr>
        <w:shd w:val="clear" w:color="auto" w:fill="31859B" w:themeFill="accent5" w:themeFillShade="bf"/>
      </w:tcPr>
    </w:tblStylePr>
    <w:tblStylePr w:type="lastCol">
      <w:rPr>
        <w:color w:val="FFFFFF"/>
      </w:rPr>
      <w:tblPr/>
      <w:tcPr>
        <w:shd w:val="clear" w:color="auto" w:fill="3185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uiPriority w:val="73"/>
    <w:basedOn w:val="TableNormal"/>
    <w:pPr>
      <w:spacing w:after="0" w:line="240" w:lineRule="auto"/>
    </w:pPr>
    <w:rPr>
      <w:color w:val="000000"/>
    </w:rPr>
    <w:tblPr>
      <w:tblInd w:w="0" w:type="dxa"/>
      <w:tblBorders>
        <w:insideH w:val="single" w:sz="4" w:space="0" w:color="FFFFFF" w:themeColor="lt1"/>
      </w:tblBorders>
      <w:tblCellMar>
        <w:top w:w="0" w:type="dxa"/>
        <w:left w:w="108" w:type="dxa"/>
        <w:bottom w:w="0" w:type="dxa"/>
        <w:right w:w="108" w:type="dxa"/>
      </w:tblCellMar>
      <w:tblStyleColBandSize w:val="1"/>
      <w:tblStyleRowBandSize w:val="1"/>
    </w:tblPr>
    <w:tcPr>
      <w:shd w:val="clear" w:color="auto" w:fill="FDEAD9" w:themeFill="accent6" w:themeFillTint="33"/>
    </w:tcPr>
    <w:tblStylePr w:type="firstRow">
      <w:rPr>
        <w:b/>
        <w:bCs/>
      </w:rPr>
      <w:tblPr/>
      <w:tcPr>
        <w:shd w:val="clear" w:color="auto" w:fill="FBD5B5" w:themeFill="accent6" w:themeFillTint="66"/>
      </w:tcPr>
    </w:tblStylePr>
    <w:tblStylePr w:type="lastRow">
      <w:rPr>
        <w:b/>
        <w:bCs/>
        <w:color w:val="000000"/>
      </w:rPr>
      <w:tblPr/>
      <w:tcPr>
        <w:shd w:val="clear" w:color="auto" w:fill="FBD5B5" w:themeFill="accent6" w:themeFillTint="66"/>
      </w:tcPr>
    </w:tblStylePr>
    <w:tblStylePr w:type="firstCol">
      <w:rPr>
        <w:color w:val="FFFFFF"/>
      </w:rPr>
      <w:tblPr/>
      <w:tcPr>
        <w:shd w:val="clear" w:color="auto" w:fill="E46C0A" w:themeFill="accent6" w:themeFillShade="bf"/>
      </w:tcPr>
    </w:tblStylePr>
    <w:tblStylePr w:type="lastCol">
      <w:rPr>
        <w:color w:val="FFFFFF"/>
      </w:rPr>
      <w:tblPr/>
      <w:tcPr>
        <w:shd w:val="clear" w:color="auto" w:fill="E4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styles" Target="styles.xml"/><Relationship Id="rId5" Type="http://schemas.openxmlformats.org/officeDocument/2006/relationships/settings" Target="settings.xml"/><Relationship Id="rId6" Type="http://schemas.openxmlformats.org/officeDocument/2006/relationships/fontTable" Target="fontTable.xml"/><Relationship Id="rId7" Type="http://schemas.openxmlformats.org/officeDocument/2006/relationships/webSettings" Target="webSettings.xml"/><Relationship Id="rId8" Type="http://schemas.openxmlformats.org/officeDocument/2006/relationships/theme" Target="theme/theme1.xml"/><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lastClr="000000" val="windowText"/>
      </a:dk1>
      <a:lt1>
        <a:sysClr lastClr="FFFFFF" val="window"/>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flip="none"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a:tileRect/>
        </a:gradFill>
        <a:gradFill flip="none" rotWithShape="1">
          <a:gsLst>
            <a:gs pos="0">
              <a:schemeClr val="phClr">
                <a:tint val="100000"/>
                <a:shade val="100000"/>
                <a:satMod val="129999"/>
              </a:schemeClr>
            </a:gs>
            <a:gs pos="100000">
              <a:schemeClr val="phClr">
                <a:tint val="50000"/>
                <a:shade val="100000"/>
                <a:satMod val="350000"/>
              </a:schemeClr>
            </a:gs>
          </a:gsLst>
          <a:lin ang="16200000" scaled="0"/>
          <a:tileRect/>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flip="none"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a:tileRect/>
        </a:gradFill>
        <a:gradFill flip="none" rotWithShape="1">
          <a:gsLst>
            <a:gs pos="0">
              <a:schemeClr val="phClr">
                <a:tint val="100000"/>
                <a:shade val="100000"/>
                <a:satMod val="129999"/>
              </a:schemeClr>
            </a:gs>
            <a:gs pos="100000">
              <a:schemeClr val="phClr">
                <a:tint val="50000"/>
                <a:shade val="100000"/>
                <a:satMod val="350000"/>
              </a:schemeClr>
            </a:gs>
          </a:gsLst>
          <a:lin ang="162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jhjun</cp:lastModifiedBy>
  <cp:revision>1</cp:revision>
  <dcterms:created xsi:type="dcterms:W3CDTF">2013-12-23T23:15:00Z</dcterms:created>
  <dcterms:modified xsi:type="dcterms:W3CDTF">2026-08-24T13:56:57.186Z</dcterms:modified>
  <cp:version>1000.0100.01</cp:version>
</cp:coreProperties>
</file>