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NOTE: 3/19 - unlikely to sequence these plants for now. To save money.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Take a GPS point of the site. Use pure GPS.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Label it as </w:t>
      </w:r>
      <w:r w:rsidDel="00000000" w:rsidR="00000000" w:rsidRPr="00000000">
        <w:rPr>
          <w:i w:val="1"/>
          <w:rtl w:val="0"/>
        </w:rPr>
        <w:t xml:space="preserve">Astragalus_# </w:t>
      </w:r>
      <w:r w:rsidDel="00000000" w:rsidR="00000000" w:rsidRPr="00000000">
        <w:rPr>
          <w:rtl w:val="0"/>
        </w:rPr>
        <w:t xml:space="preserve">where # is the number of the site, include date in label.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For each of 10 individuals: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remove three leaves (whole leaves, not leaflets) put those leaves in a labeled marked bags. Flame sterilize forceps between leaf removals.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Make box measurements of individual.</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Tape three leaflets from each individual to a piece of paper. These will be used for penetrometer, droplet retention, leaf area, and specific leaf area tests. Make sure one leaf is taped totally flat for leaf area and SLA. Other two leaves can be taped by petiole. </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Number each leaf, Number each plant, and put date and site label on the paper.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Describe % cover of shrubs, trees, graminoids, forbs within the box that would encompass sampled individuals.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Other measurements (slope, NDVI, etc. etc. ) will be collected digitally.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TAKE A VOUCHER SPECIMEN. Dig up and put in bag if you dont have press. If you have press, then press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